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C66" w:rsidRDefault="006A0EC5" w:rsidP="00AF2C66">
      <w:pPr>
        <w:bidi/>
        <w:rPr>
          <w:b w:val="0"/>
          <w:bCs w:val="0"/>
          <w:sz w:val="24"/>
          <w:szCs w:val="24"/>
          <w:rtl/>
        </w:rPr>
      </w:pPr>
      <w:r w:rsidRPr="00AF2C66">
        <w:rPr>
          <w:sz w:val="36"/>
          <w:szCs w:val="36"/>
          <w:rtl/>
        </w:rPr>
        <w:t>נשיאות</w:t>
      </w:r>
      <w:r w:rsidR="00AF2C66" w:rsidRPr="00AF2C66">
        <w:rPr>
          <w:rFonts w:hint="cs"/>
          <w:sz w:val="36"/>
          <w:szCs w:val="36"/>
          <w:rtl/>
        </w:rPr>
        <w:t xml:space="preserve"> </w:t>
      </w:r>
      <w:r w:rsidRPr="00AF2C66">
        <w:rPr>
          <w:sz w:val="36"/>
          <w:szCs w:val="36"/>
          <w:rtl/>
        </w:rPr>
        <w:t xml:space="preserve">כפים </w:t>
      </w:r>
      <w:r w:rsidRPr="00AF2C66">
        <w:rPr>
          <w:sz w:val="32"/>
          <w:szCs w:val="32"/>
          <w:rtl/>
        </w:rPr>
        <w:t>בבבל</w:t>
      </w:r>
      <w:r w:rsidR="00AF2C66">
        <w:rPr>
          <w:rFonts w:hint="cs"/>
          <w:sz w:val="32"/>
          <w:szCs w:val="32"/>
          <w:rtl/>
        </w:rPr>
        <w:t xml:space="preserve"> </w:t>
      </w:r>
      <w:r w:rsidR="00AF2C66">
        <w:rPr>
          <w:sz w:val="32"/>
          <w:szCs w:val="32"/>
          <w:rtl/>
        </w:rPr>
        <w:t>–</w:t>
      </w:r>
      <w:r w:rsidR="00AF2C66">
        <w:rPr>
          <w:sz w:val="32"/>
          <w:szCs w:val="32"/>
        </w:rPr>
        <w:t xml:space="preserve">           </w:t>
      </w:r>
      <w:r w:rsidR="00AF2C66">
        <w:rPr>
          <w:sz w:val="16"/>
          <w:szCs w:val="16"/>
        </w:rPr>
        <w:t xml:space="preserve"> </w:t>
      </w:r>
      <w:r w:rsidR="00AF2C66">
        <w:rPr>
          <w:sz w:val="32"/>
          <w:szCs w:val="32"/>
        </w:rPr>
        <w:t xml:space="preserve">       </w:t>
      </w:r>
      <w:r w:rsidR="00AF2C66">
        <w:rPr>
          <w:rFonts w:hint="cs"/>
          <w:sz w:val="32"/>
          <w:szCs w:val="32"/>
          <w:rtl/>
        </w:rPr>
        <w:t>בבל</w:t>
      </w:r>
      <w:r w:rsidR="00AF2C66">
        <w:rPr>
          <w:sz w:val="32"/>
          <w:szCs w:val="32"/>
        </w:rPr>
        <w:t xml:space="preserve">Raising of the hands </w:t>
      </w:r>
      <w:r w:rsidR="00AF2C66">
        <w:rPr>
          <w:b w:val="0"/>
          <w:bCs w:val="0"/>
          <w:sz w:val="32"/>
          <w:szCs w:val="32"/>
        </w:rPr>
        <w:t>(</w:t>
      </w:r>
      <w:proofErr w:type="spellStart"/>
      <w:r w:rsidR="00AF2C66">
        <w:rPr>
          <w:b w:val="0"/>
          <w:bCs w:val="0"/>
          <w:i/>
          <w:iCs/>
          <w:sz w:val="32"/>
          <w:szCs w:val="32"/>
        </w:rPr>
        <w:t>Duchening</w:t>
      </w:r>
      <w:proofErr w:type="spellEnd"/>
      <w:r w:rsidR="00AF2C66">
        <w:rPr>
          <w:b w:val="0"/>
          <w:bCs w:val="0"/>
          <w:sz w:val="32"/>
          <w:szCs w:val="32"/>
        </w:rPr>
        <w:t xml:space="preserve">) </w:t>
      </w:r>
      <w:r w:rsidR="00AF2C66">
        <w:rPr>
          <w:sz w:val="32"/>
          <w:szCs w:val="32"/>
        </w:rPr>
        <w:t>in</w:t>
      </w:r>
      <w:r w:rsidR="00AF2C66">
        <w:rPr>
          <w:b w:val="0"/>
          <w:bCs w:val="0"/>
          <w:sz w:val="32"/>
          <w:szCs w:val="32"/>
        </w:rPr>
        <w:t xml:space="preserve"> </w:t>
      </w:r>
    </w:p>
    <w:p w:rsidR="00AF2C66" w:rsidRDefault="00AF2C66" w:rsidP="00AF2C66">
      <w:pPr>
        <w:bidi/>
        <w:rPr>
          <w:b w:val="0"/>
          <w:bCs w:val="0"/>
          <w:sz w:val="24"/>
          <w:szCs w:val="24"/>
          <w:rtl/>
        </w:rPr>
      </w:pPr>
    </w:p>
    <w:p w:rsidR="00AF2C66" w:rsidRPr="00AF2C66" w:rsidRDefault="00AF2C66" w:rsidP="00AF2C66">
      <w:pPr>
        <w:rPr>
          <w:rFonts w:ascii="Copperplate Gothic Bold" w:hAnsi="Copperplate Gothic Bold"/>
          <w:b w:val="0"/>
          <w:bCs w:val="0"/>
          <w:u w:val="double"/>
        </w:rPr>
      </w:pPr>
      <w:r w:rsidRPr="00AF2C6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F2C66" w:rsidRPr="00AF2C66" w:rsidRDefault="00AF2C66" w:rsidP="00AF2C66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teaches that one who is </w:t>
      </w:r>
      <w:r>
        <w:rPr>
          <w:rFonts w:hint="cs"/>
          <w:b w:val="0"/>
          <w:bCs w:val="0"/>
          <w:rtl/>
        </w:rPr>
        <w:t>נושא כפיו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בבל</w:t>
      </w:r>
      <w:r>
        <w:rPr>
          <w:b w:val="0"/>
          <w:bCs w:val="0"/>
        </w:rPr>
        <w:t xml:space="preserve"> or eats </w:t>
      </w:r>
      <w:r>
        <w:rPr>
          <w:rFonts w:hint="cs"/>
          <w:b w:val="0"/>
          <w:bCs w:val="0"/>
          <w:rtl/>
        </w:rPr>
        <w:t>חלה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סוריא</w:t>
      </w:r>
      <w:r>
        <w:rPr>
          <w:b w:val="0"/>
          <w:bCs w:val="0"/>
        </w:rPr>
        <w:t xml:space="preserve">, he is </w:t>
      </w:r>
      <w:r>
        <w:rPr>
          <w:rFonts w:hint="cs"/>
          <w:b w:val="0"/>
          <w:bCs w:val="0"/>
          <w:rtl/>
        </w:rPr>
        <w:t>בחזקת כהונה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qualifies the rules in reverse </w:t>
      </w:r>
      <w:r>
        <w:rPr>
          <w:rFonts w:hint="cs"/>
          <w:b w:val="0"/>
          <w:bCs w:val="0"/>
          <w:rtl/>
        </w:rPr>
        <w:t>נשיאות כפים בסוריא ואכילת חלה בבבל</w:t>
      </w:r>
      <w:r>
        <w:rPr>
          <w:b w:val="0"/>
          <w:bCs w:val="0"/>
        </w:rPr>
        <w:t>.</w:t>
      </w:r>
    </w:p>
    <w:p w:rsidR="00AF2C66" w:rsidRDefault="009C7021" w:rsidP="009C7021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AF2C66" w:rsidRPr="009C7021" w:rsidRDefault="006A0EC5" w:rsidP="009C7021">
      <w:pPr>
        <w:bidi/>
        <w:rPr>
          <w:rFonts w:cs="David"/>
          <w:rtl/>
        </w:rPr>
      </w:pPr>
      <w:r w:rsidRPr="009C7021">
        <w:rPr>
          <w:rFonts w:cs="David"/>
          <w:rtl/>
        </w:rPr>
        <w:t>דוקא נשיאות כפים ולא אכילת חלה</w:t>
      </w:r>
      <w:r w:rsidR="00693AD4" w:rsidRPr="009C7021">
        <w:rPr>
          <w:rStyle w:val="FootnoteReference"/>
          <w:rFonts w:cs="David"/>
          <w:rtl/>
        </w:rPr>
        <w:footnoteReference w:id="1"/>
      </w:r>
      <w:r w:rsidRPr="009C7021">
        <w:rPr>
          <w:rFonts w:cs="David"/>
          <w:rtl/>
        </w:rPr>
        <w:t xml:space="preserve"> </w:t>
      </w:r>
      <w:r w:rsidR="009C7021">
        <w:rPr>
          <w:rFonts w:cs="David" w:hint="cs"/>
          <w:rtl/>
        </w:rPr>
        <w:t>-</w:t>
      </w:r>
    </w:p>
    <w:p w:rsidR="00AF2C66" w:rsidRDefault="00AF2C66" w:rsidP="00AF2C66">
      <w:pPr>
        <w:rPr>
          <w:rtl/>
        </w:rPr>
      </w:pPr>
      <w:r>
        <w:t xml:space="preserve">Only </w:t>
      </w:r>
      <w:r>
        <w:rPr>
          <w:rFonts w:hint="cs"/>
          <w:rtl/>
        </w:rPr>
        <w:t>נש"כ</w:t>
      </w:r>
      <w:r>
        <w:t xml:space="preserve"> </w:t>
      </w:r>
      <w:r>
        <w:rPr>
          <w:b w:val="0"/>
          <w:bCs w:val="0"/>
        </w:rPr>
        <w:t xml:space="preserve">is a </w:t>
      </w:r>
      <w:r>
        <w:rPr>
          <w:rFonts w:hint="cs"/>
          <w:b w:val="0"/>
          <w:bCs w:val="0"/>
          <w:rtl/>
        </w:rPr>
        <w:t>חזקה לכהונה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בבל</w:t>
      </w:r>
      <w:r>
        <w:rPr>
          <w:b w:val="0"/>
          <w:bCs w:val="0"/>
        </w:rPr>
        <w:t xml:space="preserve">, </w:t>
      </w:r>
      <w:r>
        <w:t xml:space="preserve">but not </w:t>
      </w:r>
      <w:r>
        <w:rPr>
          <w:rFonts w:hint="cs"/>
          <w:rtl/>
        </w:rPr>
        <w:t>אכילת חלה</w:t>
      </w:r>
      <w:r>
        <w:t xml:space="preserve"> </w:t>
      </w:r>
      <w:r w:rsidR="00D22F16">
        <w:t>–</w:t>
      </w:r>
    </w:p>
    <w:p w:rsidR="00D22F16" w:rsidRPr="009C7021" w:rsidRDefault="00D22F16" w:rsidP="00AF2C66">
      <w:pPr>
        <w:rPr>
          <w:sz w:val="24"/>
          <w:szCs w:val="24"/>
          <w:rtl/>
        </w:rPr>
      </w:pPr>
    </w:p>
    <w:p w:rsidR="00D22F16" w:rsidRPr="009C7021" w:rsidRDefault="00D22F16" w:rsidP="00AF2C66">
      <w:pPr>
        <w:rPr>
          <w:b w:val="0"/>
          <w:bCs w:val="0"/>
          <w:sz w:val="24"/>
          <w:szCs w:val="24"/>
        </w:rPr>
      </w:pPr>
      <w:r w:rsidRPr="009C7021">
        <w:rPr>
          <w:rFonts w:hint="cs"/>
          <w:b w:val="0"/>
          <w:bCs w:val="0"/>
          <w:sz w:val="24"/>
          <w:szCs w:val="24"/>
          <w:rtl/>
        </w:rPr>
        <w:t>תוספות</w:t>
      </w:r>
      <w:r w:rsidRPr="009C7021">
        <w:rPr>
          <w:b w:val="0"/>
          <w:bCs w:val="0"/>
          <w:sz w:val="24"/>
          <w:szCs w:val="24"/>
        </w:rPr>
        <w:t xml:space="preserve"> anticipates a difficulty:</w:t>
      </w:r>
    </w:p>
    <w:p w:rsidR="00AF2C66" w:rsidRPr="009C7021" w:rsidRDefault="006A0EC5" w:rsidP="009C7021">
      <w:pPr>
        <w:bidi/>
        <w:rPr>
          <w:rFonts w:cs="David"/>
        </w:rPr>
      </w:pPr>
      <w:r w:rsidRPr="009C7021">
        <w:rPr>
          <w:rFonts w:cs="David"/>
          <w:rtl/>
        </w:rPr>
        <w:t>וא</w:t>
      </w:r>
      <w:r w:rsidR="00AF2C66" w:rsidRPr="009C7021">
        <w:rPr>
          <w:rFonts w:cs="David" w:hint="cs"/>
          <w:rtl/>
        </w:rPr>
        <w:t xml:space="preserve">ף </w:t>
      </w:r>
      <w:r w:rsidRPr="009C7021">
        <w:rPr>
          <w:rFonts w:cs="David"/>
          <w:rtl/>
        </w:rPr>
        <w:t>ע</w:t>
      </w:r>
      <w:r w:rsidR="00AF2C66" w:rsidRPr="009C7021">
        <w:rPr>
          <w:rFonts w:cs="David" w:hint="cs"/>
          <w:rtl/>
        </w:rPr>
        <w:t xml:space="preserve">ל </w:t>
      </w:r>
      <w:r w:rsidRPr="009C7021">
        <w:rPr>
          <w:rFonts w:cs="David"/>
          <w:rtl/>
        </w:rPr>
        <w:t>ג</w:t>
      </w:r>
      <w:r w:rsidR="00AF2C66" w:rsidRPr="009C7021">
        <w:rPr>
          <w:rFonts w:cs="David" w:hint="cs"/>
          <w:rtl/>
        </w:rPr>
        <w:t>ב</w:t>
      </w:r>
      <w:r w:rsidRPr="009C7021">
        <w:rPr>
          <w:rFonts w:cs="David"/>
          <w:rtl/>
        </w:rPr>
        <w:t xml:space="preserve"> דבסוריא נמי הוי מדרבנן</w:t>
      </w:r>
      <w:r w:rsidR="005A20B2" w:rsidRPr="009C7021">
        <w:rPr>
          <w:rStyle w:val="FootnoteReference"/>
          <w:rFonts w:cs="David"/>
          <w:rtl/>
        </w:rPr>
        <w:footnoteReference w:id="2"/>
      </w:r>
      <w:r w:rsidRPr="009C7021">
        <w:rPr>
          <w:rFonts w:cs="David"/>
          <w:rtl/>
        </w:rPr>
        <w:t xml:space="preserve"> </w:t>
      </w:r>
      <w:r w:rsidR="009C7021">
        <w:rPr>
          <w:rFonts w:cs="David" w:hint="cs"/>
          <w:rtl/>
        </w:rPr>
        <w:t>-</w:t>
      </w:r>
    </w:p>
    <w:p w:rsidR="00D22F16" w:rsidRPr="009C7021" w:rsidRDefault="00D22F16" w:rsidP="00D22F16">
      <w:pPr>
        <w:rPr>
          <w:b w:val="0"/>
          <w:bCs w:val="0"/>
          <w:sz w:val="24"/>
          <w:szCs w:val="24"/>
        </w:rPr>
      </w:pPr>
      <w:proofErr w:type="gramStart"/>
      <w:r>
        <w:t xml:space="preserve">And even though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חיוב חלה</w:t>
      </w:r>
      <w:r>
        <w:rPr>
          <w:b w:val="0"/>
          <w:bCs w:val="0"/>
        </w:rPr>
        <w:t xml:space="preserve"> </w:t>
      </w:r>
      <w:r>
        <w:t xml:space="preserve">in </w:t>
      </w:r>
      <w:r>
        <w:rPr>
          <w:rFonts w:hint="cs"/>
          <w:rtl/>
        </w:rPr>
        <w:t>סוריא</w:t>
      </w:r>
      <w:r>
        <w:t xml:space="preserve"> is also </w:t>
      </w:r>
      <w:r>
        <w:rPr>
          <w:rFonts w:hint="cs"/>
          <w:rtl/>
        </w:rPr>
        <w:t>מדרבנן</w:t>
      </w:r>
      <w:r>
        <w:t xml:space="preserve">; </w:t>
      </w:r>
      <w:r w:rsidRPr="009C7021">
        <w:rPr>
          <w:b w:val="0"/>
          <w:bCs w:val="0"/>
          <w:sz w:val="24"/>
          <w:szCs w:val="24"/>
        </w:rPr>
        <w:t xml:space="preserve">why therefore is </w:t>
      </w:r>
      <w:r w:rsidRPr="009C7021">
        <w:rPr>
          <w:rFonts w:hint="cs"/>
          <w:b w:val="0"/>
          <w:bCs w:val="0"/>
          <w:sz w:val="24"/>
          <w:szCs w:val="24"/>
          <w:rtl/>
        </w:rPr>
        <w:t>אכילת חלה בסוריא</w:t>
      </w:r>
      <w:r w:rsidRPr="009C7021">
        <w:rPr>
          <w:b w:val="0"/>
          <w:bCs w:val="0"/>
          <w:sz w:val="24"/>
          <w:szCs w:val="24"/>
        </w:rPr>
        <w:t xml:space="preserve"> a </w:t>
      </w:r>
      <w:r w:rsidRPr="009C7021">
        <w:rPr>
          <w:rFonts w:hint="cs"/>
          <w:b w:val="0"/>
          <w:bCs w:val="0"/>
          <w:sz w:val="24"/>
          <w:szCs w:val="24"/>
          <w:rtl/>
        </w:rPr>
        <w:t>חזקה לכהונה</w:t>
      </w:r>
      <w:r w:rsidRPr="009C7021">
        <w:rPr>
          <w:b w:val="0"/>
          <w:bCs w:val="0"/>
          <w:sz w:val="24"/>
          <w:szCs w:val="24"/>
        </w:rPr>
        <w:t xml:space="preserve"> but not </w:t>
      </w:r>
      <w:r w:rsidRPr="009C7021">
        <w:rPr>
          <w:rFonts w:hint="cs"/>
          <w:b w:val="0"/>
          <w:bCs w:val="0"/>
          <w:sz w:val="24"/>
          <w:szCs w:val="24"/>
          <w:rtl/>
        </w:rPr>
        <w:t>אכילת חלה בבבל</w:t>
      </w:r>
      <w:r w:rsidRPr="009C7021">
        <w:rPr>
          <w:b w:val="0"/>
          <w:bCs w:val="0"/>
          <w:sz w:val="24"/>
          <w:szCs w:val="24"/>
        </w:rPr>
        <w:t xml:space="preserve">, since they are both </w:t>
      </w:r>
      <w:r w:rsidRPr="009C7021">
        <w:rPr>
          <w:rFonts w:hint="cs"/>
          <w:b w:val="0"/>
          <w:bCs w:val="0"/>
          <w:sz w:val="24"/>
          <w:szCs w:val="24"/>
          <w:rtl/>
        </w:rPr>
        <w:t>מדרבנן</w:t>
      </w:r>
      <w:r w:rsidRPr="009C7021">
        <w:rPr>
          <w:b w:val="0"/>
          <w:bCs w:val="0"/>
          <w:sz w:val="24"/>
          <w:szCs w:val="24"/>
        </w:rPr>
        <w:t>?</w:t>
      </w:r>
      <w:proofErr w:type="gramEnd"/>
    </w:p>
    <w:p w:rsidR="00D22F16" w:rsidRPr="009C7021" w:rsidRDefault="00D22F16" w:rsidP="00D22F16">
      <w:pPr>
        <w:rPr>
          <w:b w:val="0"/>
          <w:bCs w:val="0"/>
          <w:sz w:val="24"/>
          <w:szCs w:val="24"/>
        </w:rPr>
      </w:pPr>
    </w:p>
    <w:p w:rsidR="00D22F16" w:rsidRPr="009C7021" w:rsidRDefault="00D22F16" w:rsidP="00D22F16">
      <w:pPr>
        <w:rPr>
          <w:b w:val="0"/>
          <w:bCs w:val="0"/>
          <w:sz w:val="24"/>
          <w:szCs w:val="24"/>
        </w:rPr>
      </w:pPr>
      <w:r w:rsidRPr="009C7021">
        <w:rPr>
          <w:rFonts w:hint="cs"/>
          <w:b w:val="0"/>
          <w:bCs w:val="0"/>
          <w:sz w:val="24"/>
          <w:szCs w:val="24"/>
          <w:rtl/>
        </w:rPr>
        <w:t>תוספות</w:t>
      </w:r>
      <w:r w:rsidRPr="009C7021">
        <w:rPr>
          <w:b w:val="0"/>
          <w:bCs w:val="0"/>
          <w:sz w:val="24"/>
          <w:szCs w:val="24"/>
        </w:rPr>
        <w:t xml:space="preserve"> responds:</w:t>
      </w:r>
    </w:p>
    <w:p w:rsidR="00AF2C66" w:rsidRPr="009C7021" w:rsidRDefault="006A0EC5" w:rsidP="009C7021">
      <w:pPr>
        <w:bidi/>
        <w:rPr>
          <w:rFonts w:cs="David"/>
        </w:rPr>
      </w:pPr>
      <w:r w:rsidRPr="009C7021">
        <w:rPr>
          <w:rFonts w:cs="David"/>
          <w:rtl/>
        </w:rPr>
        <w:t>אין מדקדקין בבבל כמו בסוריא דסבר האי תנא כיבוש יחיד שמיה כיבוש</w:t>
      </w:r>
      <w:r w:rsidR="005A20B2" w:rsidRPr="009C7021">
        <w:rPr>
          <w:rStyle w:val="FootnoteReference"/>
          <w:rFonts w:cs="David"/>
          <w:rtl/>
        </w:rPr>
        <w:footnoteReference w:id="3"/>
      </w:r>
      <w:r w:rsidRPr="009C7021">
        <w:rPr>
          <w:rFonts w:cs="David"/>
          <w:rtl/>
        </w:rPr>
        <w:t xml:space="preserve"> </w:t>
      </w:r>
      <w:r w:rsidR="009C7021">
        <w:rPr>
          <w:rFonts w:cs="David" w:hint="cs"/>
          <w:rtl/>
        </w:rPr>
        <w:t>-</w:t>
      </w:r>
    </w:p>
    <w:p w:rsidR="00D22F16" w:rsidRPr="00D22F16" w:rsidRDefault="00D22F16" w:rsidP="00D22F16">
      <w:r>
        <w:t xml:space="preserve">In </w:t>
      </w:r>
      <w:r>
        <w:rPr>
          <w:rFonts w:hint="cs"/>
          <w:rtl/>
        </w:rPr>
        <w:t>בבל</w:t>
      </w:r>
      <w:r>
        <w:t xml:space="preserve"> they were not </w:t>
      </w:r>
      <w:r w:rsidR="009C7021">
        <w:t>as</w:t>
      </w:r>
      <w:r>
        <w:t xml:space="preserve"> particular </w:t>
      </w:r>
      <w:r>
        <w:rPr>
          <w:b w:val="0"/>
          <w:bCs w:val="0"/>
        </w:rPr>
        <w:t xml:space="preserve">as to who eats </w:t>
      </w:r>
      <w:r>
        <w:rPr>
          <w:rFonts w:hint="cs"/>
          <w:b w:val="0"/>
          <w:bCs w:val="0"/>
          <w:rtl/>
        </w:rPr>
        <w:t>חלה</w:t>
      </w:r>
      <w:r>
        <w:rPr>
          <w:b w:val="0"/>
          <w:bCs w:val="0"/>
        </w:rPr>
        <w:t xml:space="preserve"> </w:t>
      </w:r>
      <w:r>
        <w:t xml:space="preserve">as they were in </w:t>
      </w:r>
      <w:r>
        <w:rPr>
          <w:rFonts w:hint="cs"/>
          <w:rtl/>
        </w:rPr>
        <w:t>סוריא</w:t>
      </w:r>
      <w:r>
        <w:t xml:space="preserve">, for this </w:t>
      </w:r>
      <w:r>
        <w:rPr>
          <w:rFonts w:hint="cs"/>
          <w:rtl/>
        </w:rPr>
        <w:t>תנא</w:t>
      </w:r>
      <w:r>
        <w:t xml:space="preserve"> maintains </w:t>
      </w:r>
      <w:r w:rsidR="005A20B2">
        <w:t>‘a conquest of an individual is considered a conquest’.</w:t>
      </w:r>
    </w:p>
    <w:p w:rsidR="003D4453" w:rsidRPr="009C7021" w:rsidRDefault="006A0EC5" w:rsidP="00AF2C66">
      <w:pPr>
        <w:bidi/>
        <w:rPr>
          <w:rFonts w:cs="David"/>
        </w:rPr>
      </w:pPr>
      <w:r w:rsidRPr="009C7021">
        <w:rPr>
          <w:rFonts w:cs="David"/>
          <w:rtl/>
        </w:rPr>
        <w:t>ואכילת חלה בסוריא ה</w:t>
      </w:r>
      <w:r w:rsidR="00AF2C66" w:rsidRPr="009C7021">
        <w:rPr>
          <w:rFonts w:cs="David" w:hint="cs"/>
          <w:rtl/>
        </w:rPr>
        <w:t xml:space="preserve">וא </w:t>
      </w:r>
      <w:r w:rsidRPr="009C7021">
        <w:rPr>
          <w:rFonts w:cs="David"/>
          <w:rtl/>
        </w:rPr>
        <w:t>ה</w:t>
      </w:r>
      <w:r w:rsidR="00AF2C66" w:rsidRPr="009C7021">
        <w:rPr>
          <w:rFonts w:cs="David" w:hint="cs"/>
          <w:rtl/>
        </w:rPr>
        <w:t>דין</w:t>
      </w:r>
      <w:r w:rsidRPr="009C7021">
        <w:rPr>
          <w:rFonts w:cs="David"/>
          <w:rtl/>
        </w:rPr>
        <w:t xml:space="preserve"> נשיאות כפים כדמוכח לקמן</w:t>
      </w:r>
      <w:r w:rsidR="00041D52">
        <w:rPr>
          <w:rFonts w:cs="David" w:hint="cs"/>
          <w:rtl/>
        </w:rPr>
        <w:t>:</w:t>
      </w:r>
      <w:r w:rsidR="009C7021" w:rsidRPr="009C7021">
        <w:rPr>
          <w:rStyle w:val="FootnoteReference"/>
          <w:rFonts w:cs="David"/>
          <w:rtl/>
        </w:rPr>
        <w:footnoteReference w:id="4"/>
      </w:r>
    </w:p>
    <w:p w:rsidR="005A20B2" w:rsidRPr="009C7021" w:rsidRDefault="005A20B2" w:rsidP="005A20B2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when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that </w:t>
      </w:r>
      <w:r>
        <w:rPr>
          <w:rFonts w:hint="cs"/>
          <w:rtl/>
        </w:rPr>
        <w:t>אכילת חלה בסוריא</w:t>
      </w:r>
      <w:r>
        <w:t xml:space="preserve"> </w:t>
      </w:r>
      <w:r w:rsidR="009C7021">
        <w:rPr>
          <w:b w:val="0"/>
          <w:bCs w:val="0"/>
        </w:rPr>
        <w:t xml:space="preserve">presumes a </w:t>
      </w:r>
      <w:r w:rsidR="009C7021">
        <w:rPr>
          <w:rFonts w:hint="cs"/>
          <w:b w:val="0"/>
          <w:bCs w:val="0"/>
          <w:rtl/>
        </w:rPr>
        <w:t>חזקת כהונה</w:t>
      </w:r>
      <w:r w:rsidR="009C7021">
        <w:rPr>
          <w:b w:val="0"/>
          <w:bCs w:val="0"/>
        </w:rPr>
        <w:t xml:space="preserve">, </w:t>
      </w:r>
      <w:r w:rsidR="009C7021">
        <w:t xml:space="preserve">the same ruling applies to </w:t>
      </w:r>
      <w:r w:rsidR="009C7021">
        <w:rPr>
          <w:rFonts w:hint="cs"/>
          <w:rtl/>
        </w:rPr>
        <w:t>נש"כ</w:t>
      </w:r>
      <w:r w:rsidR="009C7021">
        <w:rPr>
          <w:rFonts w:hint="cs"/>
          <w:b w:val="0"/>
          <w:bCs w:val="0"/>
          <w:rtl/>
        </w:rPr>
        <w:t xml:space="preserve"> בסוריא</w:t>
      </w:r>
      <w:r w:rsidR="009C7021">
        <w:t xml:space="preserve"> </w:t>
      </w:r>
      <w:r w:rsidR="009C7021">
        <w:rPr>
          <w:b w:val="0"/>
          <w:bCs w:val="0"/>
        </w:rPr>
        <w:t xml:space="preserve">that it too confers a </w:t>
      </w:r>
      <w:r w:rsidR="009C7021">
        <w:rPr>
          <w:rFonts w:hint="cs"/>
          <w:b w:val="0"/>
          <w:bCs w:val="0"/>
          <w:rtl/>
        </w:rPr>
        <w:t>חזקת כהונה</w:t>
      </w:r>
      <w:r w:rsidR="009C7021">
        <w:rPr>
          <w:b w:val="0"/>
          <w:bCs w:val="0"/>
        </w:rPr>
        <w:t xml:space="preserve"> </w:t>
      </w:r>
      <w:r w:rsidR="009C7021" w:rsidRPr="009C7021">
        <w:t>as is evident later</w:t>
      </w:r>
      <w:r w:rsidR="009C7021">
        <w:t xml:space="preserve"> </w:t>
      </w:r>
      <w:r w:rsidR="009C7021" w:rsidRPr="009C7021">
        <w:rPr>
          <w:b w:val="0"/>
          <w:bCs w:val="0"/>
          <w:sz w:val="24"/>
          <w:szCs w:val="24"/>
        </w:rPr>
        <w:t xml:space="preserve">in the </w:t>
      </w:r>
      <w:r w:rsidR="009C7021" w:rsidRPr="009C7021">
        <w:rPr>
          <w:rFonts w:hint="cs"/>
          <w:b w:val="0"/>
          <w:bCs w:val="0"/>
          <w:sz w:val="24"/>
          <w:szCs w:val="24"/>
          <w:rtl/>
        </w:rPr>
        <w:t>גמרא</w:t>
      </w:r>
      <w:r w:rsidR="009C7021" w:rsidRPr="009C7021">
        <w:rPr>
          <w:b w:val="0"/>
          <w:bCs w:val="0"/>
          <w:sz w:val="24"/>
          <w:szCs w:val="24"/>
        </w:rPr>
        <w:t>.</w:t>
      </w:r>
    </w:p>
    <w:p w:rsidR="00AF2C66" w:rsidRPr="009C7021" w:rsidRDefault="00AF2C66" w:rsidP="00AF2C66">
      <w:pPr>
        <w:bidi/>
        <w:rPr>
          <w:sz w:val="24"/>
          <w:szCs w:val="24"/>
        </w:rPr>
      </w:pPr>
    </w:p>
    <w:p w:rsidR="00AF2C66" w:rsidRPr="00AF2C66" w:rsidRDefault="00AF2C66" w:rsidP="00AF2C66">
      <w:pPr>
        <w:rPr>
          <w:rFonts w:ascii="Copperplate Gothic Bold" w:hAnsi="Copperplate Gothic Bold"/>
          <w:b w:val="0"/>
          <w:bCs w:val="0"/>
          <w:u w:val="double"/>
        </w:rPr>
      </w:pPr>
      <w:r w:rsidRPr="00AF2C6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F2C66" w:rsidRDefault="009C7021" w:rsidP="00673500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חזקה לכהונה בבבל</w:t>
      </w:r>
      <w:r>
        <w:rPr>
          <w:b w:val="0"/>
          <w:bCs w:val="0"/>
        </w:rPr>
        <w:t xml:space="preserve"> is only </w:t>
      </w:r>
      <w:r>
        <w:rPr>
          <w:rFonts w:hint="cs"/>
          <w:b w:val="0"/>
          <w:bCs w:val="0"/>
          <w:rtl/>
        </w:rPr>
        <w:t>נ</w:t>
      </w:r>
      <w:r w:rsidR="00673500">
        <w:rPr>
          <w:rFonts w:hint="cs"/>
          <w:b w:val="0"/>
          <w:bCs w:val="0"/>
          <w:rtl/>
        </w:rPr>
        <w:t>ש"כ</w:t>
      </w:r>
      <w:r w:rsidR="00673500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(but not </w:t>
      </w:r>
      <w:r>
        <w:rPr>
          <w:rFonts w:hint="cs"/>
          <w:b w:val="0"/>
          <w:bCs w:val="0"/>
          <w:rtl/>
        </w:rPr>
        <w:t>אכילת חלה</w:t>
      </w:r>
      <w:r>
        <w:rPr>
          <w:b w:val="0"/>
          <w:bCs w:val="0"/>
        </w:rPr>
        <w:t xml:space="preserve">), and by </w:t>
      </w:r>
      <w:r>
        <w:rPr>
          <w:rFonts w:hint="cs"/>
          <w:b w:val="0"/>
          <w:bCs w:val="0"/>
          <w:rtl/>
        </w:rPr>
        <w:t>סוריא</w:t>
      </w:r>
      <w:r>
        <w:rPr>
          <w:b w:val="0"/>
          <w:bCs w:val="0"/>
        </w:rPr>
        <w:t xml:space="preserve"> it is </w:t>
      </w:r>
      <w:r>
        <w:rPr>
          <w:rFonts w:hint="cs"/>
          <w:b w:val="0"/>
          <w:bCs w:val="0"/>
          <w:rtl/>
        </w:rPr>
        <w:t>אכילת חלה ונש"כ</w:t>
      </w:r>
      <w:r>
        <w:rPr>
          <w:b w:val="0"/>
          <w:bCs w:val="0"/>
        </w:rPr>
        <w:t>.</w:t>
      </w:r>
    </w:p>
    <w:p w:rsidR="00AF2C66" w:rsidRPr="009C7021" w:rsidRDefault="00AF2C66" w:rsidP="00AF2C66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AF2C66" w:rsidRPr="00AF2C66" w:rsidRDefault="00AF2C66" w:rsidP="00AF2C66">
      <w:pPr>
        <w:rPr>
          <w:rFonts w:ascii="Copperplate Gothic Bold" w:hAnsi="Copperplate Gothic Bold"/>
          <w:b w:val="0"/>
          <w:bCs w:val="0"/>
          <w:u w:val="double"/>
        </w:rPr>
      </w:pPr>
      <w:r w:rsidRPr="00AF2C6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F2C66" w:rsidRPr="00AF2C66" w:rsidRDefault="00673500" w:rsidP="00673500">
      <w:pPr>
        <w:rPr>
          <w:b w:val="0"/>
          <w:bCs w:val="0"/>
        </w:rPr>
      </w:pPr>
      <w:r>
        <w:rPr>
          <w:b w:val="0"/>
          <w:bCs w:val="0"/>
        </w:rPr>
        <w:t xml:space="preserve">Since now </w:t>
      </w:r>
      <w:r>
        <w:rPr>
          <w:rFonts w:hint="cs"/>
          <w:b w:val="0"/>
          <w:bCs w:val="0"/>
          <w:rtl/>
        </w:rPr>
        <w:t>חלה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מדרבנן</w:t>
      </w:r>
      <w:r>
        <w:rPr>
          <w:b w:val="0"/>
          <w:bCs w:val="0"/>
        </w:rPr>
        <w:t xml:space="preserve"> everywhere, why are they more careful in </w:t>
      </w:r>
      <w:r>
        <w:rPr>
          <w:rFonts w:hint="cs"/>
          <w:b w:val="0"/>
          <w:bCs w:val="0"/>
          <w:rtl/>
        </w:rPr>
        <w:t>סוריא</w:t>
      </w:r>
      <w:r>
        <w:rPr>
          <w:b w:val="0"/>
          <w:bCs w:val="0"/>
        </w:rPr>
        <w:t xml:space="preserve"> than in </w:t>
      </w:r>
      <w:r>
        <w:rPr>
          <w:rFonts w:hint="cs"/>
          <w:b w:val="0"/>
          <w:bCs w:val="0"/>
          <w:rtl/>
        </w:rPr>
        <w:t>בבל</w:t>
      </w:r>
      <w:r>
        <w:rPr>
          <w:b w:val="0"/>
          <w:bCs w:val="0"/>
        </w:rPr>
        <w:t xml:space="preserve">, as to who the </w:t>
      </w:r>
      <w:r>
        <w:rPr>
          <w:rFonts w:hint="cs"/>
          <w:b w:val="0"/>
          <w:bCs w:val="0"/>
          <w:rtl/>
        </w:rPr>
        <w:t>חלה</w:t>
      </w:r>
      <w:r>
        <w:rPr>
          <w:b w:val="0"/>
          <w:bCs w:val="0"/>
        </w:rPr>
        <w:t xml:space="preserve"> is distributed to?</w:t>
      </w:r>
      <w:r>
        <w:rPr>
          <w:rStyle w:val="FootnoteReference"/>
          <w:b w:val="0"/>
          <w:bCs w:val="0"/>
        </w:rPr>
        <w:footnoteReference w:id="5"/>
      </w:r>
    </w:p>
    <w:sectPr w:rsidR="00AF2C66" w:rsidRPr="00AF2C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9A1" w:rsidRDefault="00E339A1" w:rsidP="00AF2C66">
      <w:pPr>
        <w:spacing w:line="240" w:lineRule="auto"/>
      </w:pPr>
      <w:r>
        <w:separator/>
      </w:r>
    </w:p>
  </w:endnote>
  <w:endnote w:type="continuationSeparator" w:id="0">
    <w:p w:rsidR="00E339A1" w:rsidRDefault="00E339A1" w:rsidP="00AF2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D52" w:rsidRPr="00041D52" w:rsidRDefault="00041D52" w:rsidP="00041D52">
    <w:pPr>
      <w:pStyle w:val="Footer"/>
      <w:jc w:val="center"/>
      <w:rPr>
        <w:b w:val="0"/>
        <w:bCs w:val="0"/>
        <w:sz w:val="16"/>
        <w:szCs w:val="16"/>
      </w:rPr>
    </w:pPr>
    <w:r w:rsidRPr="00041D52">
      <w:rPr>
        <w:b w:val="0"/>
        <w:bCs w:val="0"/>
        <w:sz w:val="16"/>
        <w:szCs w:val="16"/>
      </w:rPr>
      <w:t>TosfosInEnglish.com</w:t>
    </w:r>
  </w:p>
  <w:p w:rsidR="00041D52" w:rsidRDefault="00041D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9A1" w:rsidRDefault="00E339A1" w:rsidP="00AF2C66">
      <w:pPr>
        <w:spacing w:line="240" w:lineRule="auto"/>
      </w:pPr>
      <w:r>
        <w:separator/>
      </w:r>
    </w:p>
  </w:footnote>
  <w:footnote w:type="continuationSeparator" w:id="0">
    <w:p w:rsidR="00E339A1" w:rsidRDefault="00E339A1" w:rsidP="00AF2C66">
      <w:pPr>
        <w:spacing w:line="240" w:lineRule="auto"/>
      </w:pPr>
      <w:r>
        <w:continuationSeparator/>
      </w:r>
    </w:p>
  </w:footnote>
  <w:footnote w:id="1">
    <w:p w:rsidR="00693AD4" w:rsidRPr="00673500" w:rsidRDefault="00693AD4" w:rsidP="00673500">
      <w:pPr>
        <w:pStyle w:val="FootnoteText"/>
        <w:spacing w:line="264" w:lineRule="auto"/>
        <w:rPr>
          <w:b w:val="0"/>
          <w:bCs w:val="0"/>
        </w:rPr>
      </w:pPr>
      <w:r w:rsidRPr="00673500">
        <w:rPr>
          <w:rStyle w:val="FootnoteReference"/>
          <w:b w:val="0"/>
          <w:bCs w:val="0"/>
        </w:rPr>
        <w:footnoteRef/>
      </w:r>
      <w:r w:rsidRPr="00673500">
        <w:rPr>
          <w:b w:val="0"/>
          <w:bCs w:val="0"/>
        </w:rPr>
        <w:t xml:space="preserve"> </w:t>
      </w:r>
      <w:r w:rsidRPr="00673500">
        <w:rPr>
          <w:rFonts w:hint="cs"/>
          <w:b w:val="0"/>
          <w:bCs w:val="0"/>
          <w:rtl/>
        </w:rPr>
        <w:t>חיוב חלה</w:t>
      </w:r>
      <w:r w:rsidRPr="00673500">
        <w:rPr>
          <w:b w:val="0"/>
          <w:bCs w:val="0"/>
        </w:rPr>
        <w:t xml:space="preserve"> in </w:t>
      </w:r>
      <w:r w:rsidRPr="00673500">
        <w:rPr>
          <w:rFonts w:hint="cs"/>
          <w:b w:val="0"/>
          <w:bCs w:val="0"/>
          <w:rtl/>
        </w:rPr>
        <w:t xml:space="preserve"> בבל (חו"ל)</w:t>
      </w:r>
      <w:r w:rsidRPr="00673500">
        <w:rPr>
          <w:b w:val="0"/>
          <w:bCs w:val="0"/>
        </w:rPr>
        <w:t xml:space="preserve"> is only </w:t>
      </w:r>
      <w:r w:rsidRPr="00673500">
        <w:rPr>
          <w:rFonts w:hint="cs"/>
          <w:b w:val="0"/>
          <w:bCs w:val="0"/>
          <w:rtl/>
        </w:rPr>
        <w:t>מדרבנן</w:t>
      </w:r>
      <w:r w:rsidRPr="00673500">
        <w:rPr>
          <w:b w:val="0"/>
          <w:bCs w:val="0"/>
        </w:rPr>
        <w:t xml:space="preserve">, however </w:t>
      </w:r>
      <w:r w:rsidRPr="00673500">
        <w:rPr>
          <w:rFonts w:hint="cs"/>
          <w:b w:val="0"/>
          <w:bCs w:val="0"/>
          <w:rtl/>
        </w:rPr>
        <w:t>נשיאות כפים</w:t>
      </w:r>
      <w:r w:rsidRPr="00673500">
        <w:rPr>
          <w:b w:val="0"/>
          <w:bCs w:val="0"/>
        </w:rPr>
        <w:t xml:space="preserve"> is </w:t>
      </w:r>
      <w:r w:rsidRPr="00673500">
        <w:rPr>
          <w:rFonts w:hint="cs"/>
          <w:b w:val="0"/>
          <w:bCs w:val="0"/>
          <w:rtl/>
        </w:rPr>
        <w:t>דאורייתא</w:t>
      </w:r>
      <w:r w:rsidRPr="00673500">
        <w:rPr>
          <w:b w:val="0"/>
          <w:bCs w:val="0"/>
        </w:rPr>
        <w:t xml:space="preserve">. We are </w:t>
      </w:r>
      <w:r w:rsidRPr="00673500">
        <w:rPr>
          <w:rFonts w:hint="cs"/>
          <w:b w:val="0"/>
          <w:bCs w:val="0"/>
          <w:rtl/>
        </w:rPr>
        <w:t>מעלה</w:t>
      </w:r>
      <w:r w:rsidRPr="00673500">
        <w:rPr>
          <w:b w:val="0"/>
          <w:bCs w:val="0"/>
        </w:rPr>
        <w:t xml:space="preserve"> </w:t>
      </w:r>
      <w:r w:rsidR="00D22F16" w:rsidRPr="00673500">
        <w:rPr>
          <w:b w:val="0"/>
          <w:bCs w:val="0"/>
        </w:rPr>
        <w:t xml:space="preserve">to </w:t>
      </w:r>
      <w:r w:rsidR="00D22F16" w:rsidRPr="00673500">
        <w:rPr>
          <w:rFonts w:hint="cs"/>
          <w:b w:val="0"/>
          <w:bCs w:val="0"/>
          <w:rtl/>
        </w:rPr>
        <w:t>יוחסין</w:t>
      </w:r>
      <w:r w:rsidR="00D22F16" w:rsidRPr="00673500">
        <w:rPr>
          <w:b w:val="0"/>
          <w:bCs w:val="0"/>
        </w:rPr>
        <w:t xml:space="preserve"> </w:t>
      </w:r>
      <w:r w:rsidRPr="00673500">
        <w:rPr>
          <w:b w:val="0"/>
          <w:bCs w:val="0"/>
        </w:rPr>
        <w:t xml:space="preserve">from a </w:t>
      </w:r>
      <w:r w:rsidR="00D22F16" w:rsidRPr="00673500">
        <w:rPr>
          <w:rFonts w:hint="cs"/>
          <w:b w:val="0"/>
          <w:bCs w:val="0"/>
          <w:rtl/>
        </w:rPr>
        <w:t xml:space="preserve">דין כהונה </w:t>
      </w:r>
      <w:r w:rsidRPr="00673500">
        <w:rPr>
          <w:rFonts w:hint="cs"/>
          <w:b w:val="0"/>
          <w:bCs w:val="0"/>
          <w:rtl/>
        </w:rPr>
        <w:t>דאורייתא</w:t>
      </w:r>
      <w:r w:rsidRPr="00673500">
        <w:rPr>
          <w:b w:val="0"/>
          <w:bCs w:val="0"/>
        </w:rPr>
        <w:t xml:space="preserve"> (only)</w:t>
      </w:r>
      <w:r w:rsidR="00D22F16" w:rsidRPr="00673500">
        <w:rPr>
          <w:b w:val="0"/>
          <w:bCs w:val="0"/>
        </w:rPr>
        <w:t xml:space="preserve">, but not from a </w:t>
      </w:r>
      <w:r w:rsidR="00D22F16" w:rsidRPr="00673500">
        <w:rPr>
          <w:rFonts w:hint="cs"/>
          <w:b w:val="0"/>
          <w:bCs w:val="0"/>
          <w:rtl/>
        </w:rPr>
        <w:t>דין כהונה דרבנן</w:t>
      </w:r>
      <w:r w:rsidR="00D22F16" w:rsidRPr="00673500">
        <w:rPr>
          <w:b w:val="0"/>
          <w:bCs w:val="0"/>
        </w:rPr>
        <w:t>.</w:t>
      </w:r>
    </w:p>
  </w:footnote>
  <w:footnote w:id="2">
    <w:p w:rsidR="005A20B2" w:rsidRPr="00673500" w:rsidRDefault="005A20B2" w:rsidP="00673500">
      <w:pPr>
        <w:pStyle w:val="FootnoteText"/>
        <w:spacing w:line="264" w:lineRule="auto"/>
        <w:rPr>
          <w:b w:val="0"/>
          <w:bCs w:val="0"/>
        </w:rPr>
      </w:pPr>
      <w:r w:rsidRPr="00673500">
        <w:rPr>
          <w:rStyle w:val="FootnoteReference"/>
          <w:b w:val="0"/>
          <w:bCs w:val="0"/>
        </w:rPr>
        <w:footnoteRef/>
      </w:r>
      <w:r w:rsidRPr="00673500">
        <w:rPr>
          <w:b w:val="0"/>
          <w:bCs w:val="0"/>
        </w:rPr>
        <w:t xml:space="preserve"> See the </w:t>
      </w:r>
      <w:r w:rsidRPr="00673500">
        <w:rPr>
          <w:rFonts w:hint="cs"/>
          <w:b w:val="0"/>
          <w:bCs w:val="0"/>
          <w:rtl/>
        </w:rPr>
        <w:t>גמרא</w:t>
      </w:r>
      <w:r w:rsidRPr="00673500">
        <w:rPr>
          <w:b w:val="0"/>
          <w:bCs w:val="0"/>
        </w:rPr>
        <w:t xml:space="preserve"> later that </w:t>
      </w:r>
      <w:r w:rsidRPr="00673500">
        <w:rPr>
          <w:rFonts w:hint="cs"/>
          <w:b w:val="0"/>
          <w:bCs w:val="0"/>
          <w:rtl/>
        </w:rPr>
        <w:t>חלה בזמן הזה</w:t>
      </w:r>
      <w:r w:rsidRPr="00673500">
        <w:rPr>
          <w:b w:val="0"/>
          <w:bCs w:val="0"/>
        </w:rPr>
        <w:t xml:space="preserve"> (after </w:t>
      </w:r>
      <w:r w:rsidRPr="00673500">
        <w:rPr>
          <w:rFonts w:hint="cs"/>
          <w:b w:val="0"/>
          <w:bCs w:val="0"/>
          <w:rtl/>
        </w:rPr>
        <w:t>חרבן בית ראשון</w:t>
      </w:r>
      <w:r w:rsidRPr="00673500">
        <w:rPr>
          <w:b w:val="0"/>
          <w:bCs w:val="0"/>
        </w:rPr>
        <w:t xml:space="preserve">) is </w:t>
      </w:r>
      <w:r w:rsidRPr="00673500">
        <w:rPr>
          <w:rFonts w:hint="cs"/>
          <w:b w:val="0"/>
          <w:bCs w:val="0"/>
          <w:rtl/>
        </w:rPr>
        <w:t>מדרבנן</w:t>
      </w:r>
      <w:r w:rsidRPr="00673500">
        <w:rPr>
          <w:b w:val="0"/>
          <w:bCs w:val="0"/>
        </w:rPr>
        <w:t xml:space="preserve"> (everywhere). </w:t>
      </w:r>
    </w:p>
  </w:footnote>
  <w:footnote w:id="3">
    <w:p w:rsidR="005A20B2" w:rsidRPr="00673500" w:rsidRDefault="005A20B2" w:rsidP="00673500">
      <w:pPr>
        <w:pStyle w:val="FootnoteText"/>
        <w:spacing w:line="264" w:lineRule="auto"/>
        <w:rPr>
          <w:b w:val="0"/>
          <w:bCs w:val="0"/>
        </w:rPr>
      </w:pPr>
      <w:r w:rsidRPr="00673500">
        <w:rPr>
          <w:rStyle w:val="FootnoteReference"/>
          <w:b w:val="0"/>
          <w:bCs w:val="0"/>
        </w:rPr>
        <w:footnoteRef/>
      </w:r>
      <w:r w:rsidRPr="00673500">
        <w:rPr>
          <w:b w:val="0"/>
          <w:bCs w:val="0"/>
        </w:rPr>
        <w:t xml:space="preserve"> </w:t>
      </w:r>
      <w:r w:rsidRPr="00673500">
        <w:rPr>
          <w:rFonts w:hint="cs"/>
          <w:b w:val="0"/>
          <w:bCs w:val="0"/>
          <w:rtl/>
        </w:rPr>
        <w:t>סוריא</w:t>
      </w:r>
      <w:r w:rsidRPr="00673500">
        <w:rPr>
          <w:b w:val="0"/>
          <w:bCs w:val="0"/>
        </w:rPr>
        <w:t xml:space="preserve"> is considered a </w:t>
      </w:r>
      <w:r w:rsidRPr="00673500">
        <w:rPr>
          <w:rFonts w:hint="cs"/>
          <w:b w:val="0"/>
          <w:bCs w:val="0"/>
          <w:rtl/>
        </w:rPr>
        <w:t>כיבוש יחיד</w:t>
      </w:r>
      <w:r w:rsidRPr="00673500">
        <w:rPr>
          <w:b w:val="0"/>
          <w:bCs w:val="0"/>
        </w:rPr>
        <w:t xml:space="preserve">, since </w:t>
      </w:r>
      <w:r w:rsidRPr="00673500">
        <w:rPr>
          <w:rFonts w:hint="cs"/>
          <w:b w:val="0"/>
          <w:bCs w:val="0"/>
          <w:rtl/>
        </w:rPr>
        <w:t>דוד</w:t>
      </w:r>
      <w:r w:rsidRPr="00673500">
        <w:rPr>
          <w:b w:val="0"/>
          <w:bCs w:val="0"/>
        </w:rPr>
        <w:t xml:space="preserve"> conquered it before he conquered all of </w:t>
      </w:r>
      <w:r w:rsidRPr="00673500">
        <w:rPr>
          <w:rFonts w:hint="cs"/>
          <w:b w:val="0"/>
          <w:bCs w:val="0"/>
          <w:rtl/>
        </w:rPr>
        <w:t>א"י</w:t>
      </w:r>
      <w:r w:rsidRPr="00673500">
        <w:rPr>
          <w:b w:val="0"/>
          <w:bCs w:val="0"/>
        </w:rPr>
        <w:t xml:space="preserve"> proper (see </w:t>
      </w:r>
      <w:r w:rsidRPr="00673500">
        <w:rPr>
          <w:rFonts w:hint="cs"/>
          <w:b w:val="0"/>
          <w:bCs w:val="0"/>
          <w:rtl/>
        </w:rPr>
        <w:t>תוס' גיטין ח,א ד"ה כיבוש</w:t>
      </w:r>
      <w:r w:rsidRPr="00673500">
        <w:rPr>
          <w:b w:val="0"/>
          <w:bCs w:val="0"/>
        </w:rPr>
        <w:t xml:space="preserve">). According to the </w:t>
      </w:r>
      <w:r w:rsidRPr="00673500">
        <w:rPr>
          <w:rFonts w:hint="cs"/>
          <w:b w:val="0"/>
          <w:bCs w:val="0"/>
          <w:rtl/>
        </w:rPr>
        <w:t>מ"ד כיבוש יחיש שמיה כיבוש</w:t>
      </w:r>
      <w:r w:rsidRPr="00673500">
        <w:rPr>
          <w:b w:val="0"/>
          <w:bCs w:val="0"/>
        </w:rPr>
        <w:t xml:space="preserve"> it was (initially) </w:t>
      </w:r>
      <w:r w:rsidRPr="00673500">
        <w:rPr>
          <w:rFonts w:hint="cs"/>
          <w:b w:val="0"/>
          <w:bCs w:val="0"/>
          <w:rtl/>
        </w:rPr>
        <w:t>מחיוב בחלה מדאורייתא</w:t>
      </w:r>
      <w:r w:rsidRPr="00673500">
        <w:rPr>
          <w:b w:val="0"/>
          <w:bCs w:val="0"/>
        </w:rPr>
        <w:t xml:space="preserve"> like the rest of </w:t>
      </w:r>
      <w:r w:rsidRPr="00673500">
        <w:rPr>
          <w:rFonts w:hint="cs"/>
          <w:b w:val="0"/>
          <w:bCs w:val="0"/>
          <w:rtl/>
        </w:rPr>
        <w:t>א"י</w:t>
      </w:r>
      <w:r w:rsidRPr="00673500">
        <w:rPr>
          <w:b w:val="0"/>
          <w:bCs w:val="0"/>
        </w:rPr>
        <w:t xml:space="preserve">. Therefore (since it was originally </w:t>
      </w:r>
      <w:r w:rsidRPr="00673500">
        <w:rPr>
          <w:rFonts w:hint="cs"/>
          <w:b w:val="0"/>
          <w:bCs w:val="0"/>
          <w:rtl/>
        </w:rPr>
        <w:t>מחויב בחלה מדאורייתא</w:t>
      </w:r>
      <w:r w:rsidRPr="00673500">
        <w:rPr>
          <w:b w:val="0"/>
          <w:bCs w:val="0"/>
        </w:rPr>
        <w:t xml:space="preserve">) they were always scrupulous as to who would eat </w:t>
      </w:r>
      <w:r w:rsidRPr="00673500">
        <w:rPr>
          <w:rFonts w:hint="cs"/>
          <w:b w:val="0"/>
          <w:bCs w:val="0"/>
          <w:rtl/>
        </w:rPr>
        <w:t>חלה</w:t>
      </w:r>
      <w:r w:rsidRPr="00673500">
        <w:rPr>
          <w:b w:val="0"/>
          <w:bCs w:val="0"/>
        </w:rPr>
        <w:t xml:space="preserve"> (even after the </w:t>
      </w:r>
      <w:r w:rsidRPr="00673500">
        <w:rPr>
          <w:rFonts w:hint="cs"/>
          <w:b w:val="0"/>
          <w:bCs w:val="0"/>
          <w:rtl/>
        </w:rPr>
        <w:t>חיוב</w:t>
      </w:r>
      <w:r w:rsidRPr="00673500">
        <w:rPr>
          <w:b w:val="0"/>
          <w:bCs w:val="0"/>
        </w:rPr>
        <w:t xml:space="preserve"> was only </w:t>
      </w:r>
      <w:r w:rsidRPr="00673500">
        <w:rPr>
          <w:rFonts w:hint="cs"/>
          <w:b w:val="0"/>
          <w:bCs w:val="0"/>
          <w:rtl/>
        </w:rPr>
        <w:t>מדרבנן</w:t>
      </w:r>
      <w:r w:rsidRPr="00673500">
        <w:rPr>
          <w:b w:val="0"/>
          <w:bCs w:val="0"/>
        </w:rPr>
        <w:t xml:space="preserve">). However in </w:t>
      </w:r>
      <w:r w:rsidRPr="00673500">
        <w:rPr>
          <w:rFonts w:hint="cs"/>
          <w:b w:val="0"/>
          <w:bCs w:val="0"/>
          <w:rtl/>
        </w:rPr>
        <w:t>בבל</w:t>
      </w:r>
      <w:r w:rsidRPr="00673500">
        <w:rPr>
          <w:b w:val="0"/>
          <w:bCs w:val="0"/>
        </w:rPr>
        <w:t xml:space="preserve"> where there never was a </w:t>
      </w:r>
      <w:r w:rsidRPr="00673500">
        <w:rPr>
          <w:rFonts w:hint="cs"/>
          <w:b w:val="0"/>
          <w:bCs w:val="0"/>
          <w:rtl/>
        </w:rPr>
        <w:t>חיוב חלה מדאורייתא</w:t>
      </w:r>
      <w:r w:rsidRPr="00673500">
        <w:rPr>
          <w:b w:val="0"/>
          <w:bCs w:val="0"/>
        </w:rPr>
        <w:t xml:space="preserve">, they are not that as scrupulous. </w:t>
      </w:r>
    </w:p>
  </w:footnote>
  <w:footnote w:id="4">
    <w:p w:rsidR="009C7021" w:rsidRPr="00673500" w:rsidRDefault="009C7021" w:rsidP="00673500">
      <w:pPr>
        <w:pStyle w:val="FootnoteText"/>
        <w:spacing w:line="264" w:lineRule="auto"/>
        <w:rPr>
          <w:b w:val="0"/>
          <w:bCs w:val="0"/>
        </w:rPr>
      </w:pPr>
      <w:r w:rsidRPr="00673500">
        <w:rPr>
          <w:rStyle w:val="FootnoteReference"/>
          <w:b w:val="0"/>
          <w:bCs w:val="0"/>
        </w:rPr>
        <w:footnoteRef/>
      </w:r>
      <w:r w:rsidRPr="00673500">
        <w:rPr>
          <w:b w:val="0"/>
          <w:bCs w:val="0"/>
        </w:rPr>
        <w:t xml:space="preserve"> See following </w:t>
      </w:r>
      <w:r w:rsidRPr="00673500">
        <w:rPr>
          <w:rFonts w:hint="cs"/>
          <w:b w:val="0"/>
          <w:bCs w:val="0"/>
          <w:rtl/>
        </w:rPr>
        <w:t>ברייתא</w:t>
      </w:r>
      <w:r w:rsidRPr="00673500">
        <w:rPr>
          <w:b w:val="0"/>
          <w:bCs w:val="0"/>
        </w:rPr>
        <w:t xml:space="preserve"> which states, </w:t>
      </w:r>
      <w:r w:rsidRPr="00673500">
        <w:rPr>
          <w:rFonts w:hint="cs"/>
          <w:b w:val="0"/>
          <w:bCs w:val="0"/>
          <w:rtl/>
        </w:rPr>
        <w:t>חזקה לכהונה נשיאות כפים וכו' בא"י ובסוריא</w:t>
      </w:r>
      <w:r w:rsidRPr="00673500">
        <w:rPr>
          <w:b w:val="0"/>
          <w:bCs w:val="0"/>
        </w:rPr>
        <w:t>.</w:t>
      </w:r>
    </w:p>
  </w:footnote>
  <w:footnote w:id="5">
    <w:p w:rsidR="00673500" w:rsidRPr="00673500" w:rsidRDefault="00673500" w:rsidP="00673500">
      <w:pPr>
        <w:pStyle w:val="FootnoteText"/>
        <w:spacing w:line="264" w:lineRule="auto"/>
        <w:rPr>
          <w:b w:val="0"/>
          <w:bCs w:val="0"/>
        </w:rPr>
      </w:pPr>
      <w:r w:rsidRPr="00673500">
        <w:rPr>
          <w:rStyle w:val="FootnoteReference"/>
          <w:b w:val="0"/>
          <w:bCs w:val="0"/>
        </w:rPr>
        <w:footnoteRef/>
      </w:r>
      <w:r w:rsidRPr="00673500">
        <w:rPr>
          <w:b w:val="0"/>
          <w:bCs w:val="0"/>
        </w:rPr>
        <w:t xml:space="preserve"> See </w:t>
      </w:r>
      <w:r w:rsidRPr="00673500">
        <w:rPr>
          <w:rFonts w:hint="cs"/>
          <w:b w:val="0"/>
          <w:bCs w:val="0"/>
          <w:rtl/>
        </w:rPr>
        <w:t>מהרש"א</w:t>
      </w:r>
      <w:r w:rsidRPr="00673500">
        <w:rPr>
          <w:b w:val="0"/>
          <w:bCs w:val="0"/>
        </w:rPr>
        <w:t xml:space="preserve"> and </w:t>
      </w:r>
      <w:r w:rsidRPr="00673500">
        <w:rPr>
          <w:rFonts w:hint="cs"/>
          <w:b w:val="0"/>
          <w:bCs w:val="0"/>
          <w:rtl/>
        </w:rPr>
        <w:t>רש"ש</w:t>
      </w:r>
      <w:r w:rsidRPr="00673500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C66" w:rsidRPr="00AF2C66" w:rsidRDefault="00AF2C66" w:rsidP="00AF2C66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כה,א תוס' ד"ה נשיאות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C5"/>
    <w:rsid w:val="00041D52"/>
    <w:rsid w:val="003D4453"/>
    <w:rsid w:val="00502273"/>
    <w:rsid w:val="005A20B2"/>
    <w:rsid w:val="00673500"/>
    <w:rsid w:val="00693AD4"/>
    <w:rsid w:val="006A0EC5"/>
    <w:rsid w:val="009C7021"/>
    <w:rsid w:val="00AF2C66"/>
    <w:rsid w:val="00D22F16"/>
    <w:rsid w:val="00E3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C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C66"/>
  </w:style>
  <w:style w:type="paragraph" w:styleId="Footer">
    <w:name w:val="footer"/>
    <w:basedOn w:val="Normal"/>
    <w:link w:val="FooterChar"/>
    <w:uiPriority w:val="99"/>
    <w:unhideWhenUsed/>
    <w:rsid w:val="00AF2C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66"/>
  </w:style>
  <w:style w:type="paragraph" w:styleId="FootnoteText">
    <w:name w:val="footnote text"/>
    <w:basedOn w:val="Normal"/>
    <w:link w:val="FootnoteTextChar"/>
    <w:uiPriority w:val="99"/>
    <w:semiHidden/>
    <w:unhideWhenUsed/>
    <w:rsid w:val="00693AD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3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3AD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D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C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C66"/>
  </w:style>
  <w:style w:type="paragraph" w:styleId="Footer">
    <w:name w:val="footer"/>
    <w:basedOn w:val="Normal"/>
    <w:link w:val="FooterChar"/>
    <w:uiPriority w:val="99"/>
    <w:unhideWhenUsed/>
    <w:rsid w:val="00AF2C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C66"/>
  </w:style>
  <w:style w:type="paragraph" w:styleId="FootnoteText">
    <w:name w:val="footnote text"/>
    <w:basedOn w:val="Normal"/>
    <w:link w:val="FootnoteTextChar"/>
    <w:uiPriority w:val="99"/>
    <w:semiHidden/>
    <w:unhideWhenUsed/>
    <w:rsid w:val="00693AD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3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3AD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D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2015-09-07T15:51:00Z</dcterms:created>
  <dcterms:modified xsi:type="dcterms:W3CDTF">2015-12-03T02:44:00Z</dcterms:modified>
</cp:coreProperties>
</file>