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06D" w:rsidRDefault="00826B58" w:rsidP="004A706D">
      <w:pPr>
        <w:bidi/>
        <w:rPr>
          <w:sz w:val="32"/>
          <w:szCs w:val="32"/>
        </w:rPr>
      </w:pPr>
      <w:r w:rsidRPr="004A706D">
        <w:rPr>
          <w:sz w:val="36"/>
          <w:szCs w:val="36"/>
          <w:rtl/>
        </w:rPr>
        <w:t>עדות</w:t>
      </w:r>
      <w:r w:rsidR="004A706D">
        <w:rPr>
          <w:rFonts w:hint="cs"/>
          <w:rtl/>
        </w:rPr>
        <w:t xml:space="preserve"> </w:t>
      </w:r>
      <w:r w:rsidRPr="004A706D">
        <w:rPr>
          <w:sz w:val="32"/>
          <w:szCs w:val="32"/>
          <w:rtl/>
        </w:rPr>
        <w:t>הבאה מכח חזקה</w:t>
      </w:r>
      <w:r w:rsidR="004A706D">
        <w:rPr>
          <w:rFonts w:hint="cs"/>
          <w:sz w:val="32"/>
          <w:szCs w:val="32"/>
          <w:rtl/>
        </w:rPr>
        <w:t xml:space="preserve"> </w:t>
      </w:r>
      <w:r w:rsidR="004A706D">
        <w:rPr>
          <w:sz w:val="32"/>
          <w:szCs w:val="32"/>
          <w:rtl/>
        </w:rPr>
        <w:t>–</w:t>
      </w:r>
      <w:r w:rsidR="004A706D">
        <w:rPr>
          <w:rFonts w:hint="cs"/>
          <w:sz w:val="32"/>
          <w:szCs w:val="32"/>
          <w:rtl/>
        </w:rPr>
        <w:t xml:space="preserve"> </w:t>
      </w:r>
    </w:p>
    <w:p w:rsidR="004A706D" w:rsidRPr="004A706D" w:rsidRDefault="004A706D" w:rsidP="004A706D">
      <w:pPr>
        <w:rPr>
          <w:b w:val="0"/>
          <w:bCs w:val="0"/>
        </w:rPr>
      </w:pPr>
      <w:r>
        <w:rPr>
          <w:sz w:val="32"/>
          <w:szCs w:val="32"/>
        </w:rPr>
        <w:t>Testimony which come from the strength of</w:t>
      </w:r>
      <w:r>
        <w:rPr>
          <w:sz w:val="32"/>
          <w:szCs w:val="32"/>
        </w:rPr>
        <w:t xml:space="preserve"> a presumption</w:t>
      </w:r>
    </w:p>
    <w:p w:rsidR="004A706D" w:rsidRDefault="004A706D" w:rsidP="004A706D">
      <w:pPr>
        <w:bidi/>
        <w:rPr>
          <w:rFonts w:hint="cs"/>
          <w:b w:val="0"/>
          <w:bCs w:val="0"/>
          <w:sz w:val="24"/>
          <w:szCs w:val="24"/>
          <w:rtl/>
        </w:rPr>
      </w:pPr>
    </w:p>
    <w:p w:rsidR="004A706D" w:rsidRPr="004A706D" w:rsidRDefault="004A706D" w:rsidP="004A706D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4A706D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4A706D" w:rsidRPr="004A706D" w:rsidRDefault="004A706D" w:rsidP="004A706D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explained that when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stated that </w:t>
      </w:r>
      <w:r>
        <w:rPr>
          <w:rFonts w:hint="cs"/>
          <w:b w:val="0"/>
          <w:bCs w:val="0"/>
          <w:rtl/>
        </w:rPr>
        <w:t>חזקה לכהונה וכו'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עדות</w:t>
      </w:r>
      <w:r>
        <w:rPr>
          <w:b w:val="0"/>
          <w:bCs w:val="0"/>
        </w:rPr>
        <w:t xml:space="preserve">, it meant </w:t>
      </w:r>
      <w:r>
        <w:rPr>
          <w:rFonts w:hint="cs"/>
          <w:b w:val="0"/>
          <w:bCs w:val="0"/>
          <w:rtl/>
        </w:rPr>
        <w:t>עדות הבאה מכח חזקה</w:t>
      </w:r>
      <w:r>
        <w:rPr>
          <w:b w:val="0"/>
          <w:bCs w:val="0"/>
        </w:rPr>
        <w:t xml:space="preserve">. The example offered was the case of one who was called up first to the </w:t>
      </w:r>
      <w:r>
        <w:rPr>
          <w:rFonts w:hint="cs"/>
          <w:b w:val="0"/>
          <w:bCs w:val="0"/>
          <w:rtl/>
        </w:rPr>
        <w:t>תורה</w:t>
      </w:r>
      <w:r>
        <w:rPr>
          <w:b w:val="0"/>
          <w:bCs w:val="0"/>
        </w:rPr>
        <w:t xml:space="preserve"> and a </w:t>
      </w:r>
      <w:r>
        <w:rPr>
          <w:rFonts w:hint="cs"/>
          <w:b w:val="0"/>
          <w:bCs w:val="0"/>
          <w:rtl/>
        </w:rPr>
        <w:t>לוי</w:t>
      </w:r>
      <w:r>
        <w:rPr>
          <w:b w:val="0"/>
          <w:bCs w:val="0"/>
        </w:rPr>
        <w:t xml:space="preserve"> was called after him, so </w:t>
      </w:r>
      <w:r>
        <w:rPr>
          <w:rFonts w:hint="cs"/>
          <w:b w:val="0"/>
          <w:bCs w:val="0"/>
          <w:rtl/>
        </w:rPr>
        <w:t>רב אמי</w:t>
      </w:r>
      <w:r>
        <w:rPr>
          <w:b w:val="0"/>
          <w:bCs w:val="0"/>
        </w:rPr>
        <w:t xml:space="preserve"> was </w:t>
      </w:r>
      <w:r>
        <w:rPr>
          <w:rFonts w:hint="cs"/>
          <w:b w:val="0"/>
          <w:bCs w:val="0"/>
          <w:rtl/>
        </w:rPr>
        <w:t>מעלה</w:t>
      </w:r>
      <w:r>
        <w:rPr>
          <w:b w:val="0"/>
          <w:bCs w:val="0"/>
        </w:rPr>
        <w:t xml:space="preserve"> him to </w:t>
      </w:r>
      <w:r>
        <w:rPr>
          <w:rFonts w:hint="cs"/>
          <w:b w:val="0"/>
          <w:bCs w:val="0"/>
          <w:rtl/>
        </w:rPr>
        <w:t>כהונה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how this incident is considered </w:t>
      </w:r>
      <w:r>
        <w:rPr>
          <w:rFonts w:hint="cs"/>
          <w:b w:val="0"/>
          <w:bCs w:val="0"/>
          <w:rtl/>
        </w:rPr>
        <w:t>עדות הבאה מכח חזקה</w:t>
      </w:r>
      <w:r>
        <w:rPr>
          <w:b w:val="0"/>
          <w:bCs w:val="0"/>
        </w:rPr>
        <w:t>.</w:t>
      </w:r>
    </w:p>
    <w:p w:rsidR="004A706D" w:rsidRDefault="00C279E4" w:rsidP="00C279E4">
      <w:pPr>
        <w:bidi/>
        <w:jc w:val="center"/>
        <w:rPr>
          <w:rFonts w:hint="cs"/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</w:t>
      </w:r>
    </w:p>
    <w:p w:rsidR="00826B58" w:rsidRPr="00C279E4" w:rsidRDefault="00826B58" w:rsidP="004A706D">
      <w:pPr>
        <w:bidi/>
        <w:rPr>
          <w:rFonts w:cs="David"/>
        </w:rPr>
      </w:pPr>
      <w:r w:rsidRPr="00C279E4">
        <w:rPr>
          <w:rFonts w:cs="David"/>
          <w:rtl/>
        </w:rPr>
        <w:t>פי</w:t>
      </w:r>
      <w:r w:rsidR="004A706D" w:rsidRPr="00C279E4">
        <w:rPr>
          <w:rFonts w:cs="David" w:hint="cs"/>
          <w:rtl/>
        </w:rPr>
        <w:t>רוש</w:t>
      </w:r>
      <w:r w:rsidR="004A706D" w:rsidRPr="00C279E4">
        <w:rPr>
          <w:rStyle w:val="FootnoteReference"/>
          <w:rFonts w:cs="David"/>
          <w:rtl/>
        </w:rPr>
        <w:footnoteReference w:id="1"/>
      </w:r>
      <w:r w:rsidRPr="00C279E4">
        <w:rPr>
          <w:rFonts w:cs="David"/>
          <w:rtl/>
        </w:rPr>
        <w:t xml:space="preserve"> שאנו יודעין שהוא כהן מחמת הקורא אחריו שמוחזק לן שהוא לוי</w:t>
      </w:r>
      <w:r w:rsidRPr="00C279E4">
        <w:rPr>
          <w:rFonts w:cs="David"/>
        </w:rPr>
        <w:t>:</w:t>
      </w:r>
    </w:p>
    <w:p w:rsidR="004A706D" w:rsidRDefault="004A706D" w:rsidP="004A706D">
      <w:r>
        <w:t xml:space="preserve">The explanation </w:t>
      </w:r>
      <w:r>
        <w:rPr>
          <w:b w:val="0"/>
          <w:bCs w:val="0"/>
        </w:rPr>
        <w:t xml:space="preserve">(that this incident is called </w:t>
      </w:r>
      <w:r>
        <w:rPr>
          <w:rFonts w:hint="cs"/>
          <w:b w:val="0"/>
          <w:bCs w:val="0"/>
          <w:rtl/>
        </w:rPr>
        <w:t>עדות הבאה מכח חזקה</w:t>
      </w:r>
      <w:r>
        <w:rPr>
          <w:b w:val="0"/>
          <w:bCs w:val="0"/>
        </w:rPr>
        <w:t xml:space="preserve">) </w:t>
      </w:r>
      <w:r>
        <w:t xml:space="preserve">is that we know that </w:t>
      </w:r>
      <w:r>
        <w:rPr>
          <w:b w:val="0"/>
          <w:bCs w:val="0"/>
        </w:rPr>
        <w:t xml:space="preserve">the first person called up to the </w:t>
      </w:r>
      <w:r>
        <w:rPr>
          <w:rFonts w:hint="cs"/>
          <w:b w:val="0"/>
          <w:bCs w:val="0"/>
          <w:rtl/>
        </w:rPr>
        <w:t>תורה</w:t>
      </w:r>
      <w:r>
        <w:rPr>
          <w:b w:val="0"/>
          <w:bCs w:val="0"/>
        </w:rPr>
        <w:t xml:space="preserve"> </w:t>
      </w:r>
      <w:r>
        <w:t xml:space="preserve">is a </w:t>
      </w:r>
      <w:r>
        <w:rPr>
          <w:rFonts w:hint="cs"/>
          <w:rtl/>
        </w:rPr>
        <w:t>כהן</w:t>
      </w:r>
      <w:r>
        <w:t xml:space="preserve">, </w:t>
      </w:r>
      <w:r>
        <w:rPr>
          <w:b w:val="0"/>
          <w:bCs w:val="0"/>
        </w:rPr>
        <w:t xml:space="preserve">(only) </w:t>
      </w:r>
      <w:r>
        <w:t xml:space="preserve">on account of the one who read after him; for we were </w:t>
      </w:r>
      <w:r>
        <w:rPr>
          <w:rFonts w:hint="cs"/>
          <w:rtl/>
        </w:rPr>
        <w:t>מוחזק</w:t>
      </w:r>
      <w:r>
        <w:t xml:space="preserve"> that he was a </w:t>
      </w:r>
      <w:r>
        <w:rPr>
          <w:rFonts w:hint="cs"/>
          <w:rtl/>
        </w:rPr>
        <w:t>לוי</w:t>
      </w:r>
      <w:r>
        <w:t>.</w:t>
      </w:r>
      <w:r>
        <w:rPr>
          <w:rStyle w:val="FootnoteReference"/>
        </w:rPr>
        <w:footnoteReference w:id="2"/>
      </w:r>
      <w:r>
        <w:t xml:space="preserve"> </w:t>
      </w:r>
    </w:p>
    <w:p w:rsidR="004A706D" w:rsidRPr="00C279E4" w:rsidRDefault="004A706D" w:rsidP="004A706D">
      <w:pPr>
        <w:bidi/>
        <w:rPr>
          <w:sz w:val="24"/>
          <w:szCs w:val="24"/>
        </w:rPr>
      </w:pPr>
    </w:p>
    <w:p w:rsidR="004A706D" w:rsidRPr="004A706D" w:rsidRDefault="004A706D" w:rsidP="004A706D">
      <w:pPr>
        <w:rPr>
          <w:rFonts w:ascii="Copperplate Gothic Bold" w:hAnsi="Copperplate Gothic Bold"/>
          <w:b w:val="0"/>
          <w:bCs w:val="0"/>
          <w:u w:val="double"/>
        </w:rPr>
      </w:pPr>
      <w:r w:rsidRPr="004A706D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4A706D" w:rsidRPr="004A706D" w:rsidRDefault="009665B3" w:rsidP="004A706D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עדות הבא מכח חזקה</w:t>
      </w:r>
      <w:r>
        <w:rPr>
          <w:b w:val="0"/>
          <w:bCs w:val="0"/>
        </w:rPr>
        <w:t xml:space="preserve"> means that we know he is a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 since the one who read after him was </w:t>
      </w:r>
      <w:r>
        <w:rPr>
          <w:rFonts w:hint="cs"/>
          <w:b w:val="0"/>
          <w:bCs w:val="0"/>
          <w:rtl/>
        </w:rPr>
        <w:t>מוחזק</w:t>
      </w:r>
      <w:r>
        <w:rPr>
          <w:b w:val="0"/>
          <w:bCs w:val="0"/>
        </w:rPr>
        <w:t xml:space="preserve"> to be a </w:t>
      </w:r>
      <w:r>
        <w:rPr>
          <w:rFonts w:hint="cs"/>
          <w:b w:val="0"/>
          <w:bCs w:val="0"/>
          <w:rtl/>
        </w:rPr>
        <w:t>לוי</w:t>
      </w:r>
      <w:r>
        <w:rPr>
          <w:b w:val="0"/>
          <w:bCs w:val="0"/>
        </w:rPr>
        <w:t>.</w:t>
      </w:r>
    </w:p>
    <w:p w:rsidR="004A706D" w:rsidRPr="00C279E4" w:rsidRDefault="004A706D" w:rsidP="004A706D">
      <w:pPr>
        <w:rPr>
          <w:b w:val="0"/>
          <w:bCs w:val="0"/>
          <w:sz w:val="24"/>
          <w:szCs w:val="24"/>
        </w:rPr>
      </w:pPr>
    </w:p>
    <w:p w:rsidR="004A706D" w:rsidRPr="004A706D" w:rsidRDefault="004A706D" w:rsidP="004A706D">
      <w:pPr>
        <w:rPr>
          <w:rFonts w:ascii="Copperplate Gothic Bold" w:hAnsi="Copperplate Gothic Bold"/>
          <w:b w:val="0"/>
          <w:bCs w:val="0"/>
          <w:u w:val="double"/>
        </w:rPr>
      </w:pPr>
      <w:r w:rsidRPr="004A706D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4A706D" w:rsidRPr="004A706D" w:rsidRDefault="009665B3" w:rsidP="00C279E4">
      <w:pPr>
        <w:rPr>
          <w:b w:val="0"/>
          <w:bCs w:val="0"/>
        </w:rPr>
      </w:pPr>
      <w:r>
        <w:rPr>
          <w:b w:val="0"/>
          <w:bCs w:val="0"/>
        </w:rPr>
        <w:t xml:space="preserve">What is the </w:t>
      </w:r>
      <w:r>
        <w:rPr>
          <w:rFonts w:hint="cs"/>
          <w:b w:val="0"/>
          <w:bCs w:val="0"/>
          <w:rtl/>
        </w:rPr>
        <w:t>חידוש</w:t>
      </w:r>
      <w:r>
        <w:rPr>
          <w:b w:val="0"/>
          <w:bCs w:val="0"/>
        </w:rPr>
        <w:t xml:space="preserve"> </w:t>
      </w:r>
      <w:r w:rsidR="00C279E4">
        <w:rPr>
          <w:b w:val="0"/>
          <w:bCs w:val="0"/>
        </w:rPr>
        <w:t xml:space="preserve">(even) </w:t>
      </w:r>
      <w:bookmarkStart w:id="0" w:name="_GoBack"/>
      <w:bookmarkEnd w:id="0"/>
      <w:r>
        <w:rPr>
          <w:b w:val="0"/>
          <w:bCs w:val="0"/>
        </w:rPr>
        <w:t xml:space="preserve">according to </w:t>
      </w:r>
      <w:r>
        <w:rPr>
          <w:rFonts w:hint="cs"/>
          <w:b w:val="0"/>
          <w:bCs w:val="0"/>
          <w:rtl/>
        </w:rPr>
        <w:t>תוספות</w:t>
      </w:r>
      <w:r w:rsidR="00C279E4">
        <w:rPr>
          <w:b w:val="0"/>
          <w:bCs w:val="0"/>
        </w:rPr>
        <w:t>;</w:t>
      </w:r>
      <w:r>
        <w:rPr>
          <w:rStyle w:val="FootnoteReference"/>
          <w:b w:val="0"/>
          <w:bCs w:val="0"/>
        </w:rPr>
        <w:footnoteReference w:id="3"/>
      </w:r>
      <w:r>
        <w:rPr>
          <w:b w:val="0"/>
          <w:bCs w:val="0"/>
        </w:rPr>
        <w:t xml:space="preserve"> it seems obvious if </w:t>
      </w:r>
      <w:r w:rsidR="00C279E4">
        <w:rPr>
          <w:b w:val="0"/>
          <w:bCs w:val="0"/>
        </w:rPr>
        <w:t>the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לוי</w:t>
      </w:r>
      <w:r>
        <w:rPr>
          <w:b w:val="0"/>
          <w:bCs w:val="0"/>
        </w:rPr>
        <w:t xml:space="preserve"> was </w:t>
      </w:r>
      <w:r>
        <w:rPr>
          <w:rFonts w:hint="cs"/>
          <w:b w:val="0"/>
          <w:bCs w:val="0"/>
          <w:rtl/>
        </w:rPr>
        <w:t>מוחזק</w:t>
      </w:r>
      <w:r>
        <w:rPr>
          <w:b w:val="0"/>
          <w:bCs w:val="0"/>
        </w:rPr>
        <w:t xml:space="preserve">, then the </w:t>
      </w:r>
      <w:r>
        <w:rPr>
          <w:rFonts w:hint="cs"/>
          <w:b w:val="0"/>
          <w:bCs w:val="0"/>
          <w:rtl/>
        </w:rPr>
        <w:t>קורא ראשון</w:t>
      </w:r>
      <w:r>
        <w:rPr>
          <w:b w:val="0"/>
          <w:bCs w:val="0"/>
        </w:rPr>
        <w:t xml:space="preserve"> must be a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>?!</w:t>
      </w:r>
      <w:r>
        <w:rPr>
          <w:rStyle w:val="FootnoteReference"/>
          <w:b w:val="0"/>
          <w:bCs w:val="0"/>
        </w:rPr>
        <w:footnoteReference w:id="4"/>
      </w:r>
    </w:p>
    <w:p w:rsidR="003D4453" w:rsidRDefault="003D4453" w:rsidP="00826B58">
      <w:pPr>
        <w:bidi/>
      </w:pPr>
    </w:p>
    <w:sectPr w:rsidR="003D44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C74" w:rsidRDefault="00142C74" w:rsidP="004A706D">
      <w:pPr>
        <w:spacing w:line="240" w:lineRule="auto"/>
      </w:pPr>
      <w:r>
        <w:separator/>
      </w:r>
    </w:p>
  </w:endnote>
  <w:endnote w:type="continuationSeparator" w:id="0">
    <w:p w:rsidR="00142C74" w:rsidRDefault="00142C74" w:rsidP="004A70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9E4" w:rsidRDefault="00C279E4" w:rsidP="00C279E4">
    <w:pPr>
      <w:pStyle w:val="Footer"/>
      <w:jc w:val="center"/>
    </w:pPr>
    <w:r>
      <w:rPr>
        <w:b w:val="0"/>
        <w:bCs w:val="0"/>
        <w:sz w:val="16"/>
        <w:szCs w:val="16"/>
      </w:rPr>
      <w:t>TosfosInEnglish.com</w:t>
    </w:r>
  </w:p>
  <w:p w:rsidR="00C279E4" w:rsidRPr="00C279E4" w:rsidRDefault="00C279E4" w:rsidP="00C279E4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C74" w:rsidRDefault="00142C74" w:rsidP="004A706D">
      <w:pPr>
        <w:spacing w:line="240" w:lineRule="auto"/>
      </w:pPr>
      <w:r>
        <w:separator/>
      </w:r>
    </w:p>
  </w:footnote>
  <w:footnote w:type="continuationSeparator" w:id="0">
    <w:p w:rsidR="00142C74" w:rsidRDefault="00142C74" w:rsidP="004A706D">
      <w:pPr>
        <w:spacing w:line="240" w:lineRule="auto"/>
      </w:pPr>
      <w:r>
        <w:continuationSeparator/>
      </w:r>
    </w:p>
  </w:footnote>
  <w:footnote w:id="1">
    <w:p w:rsidR="004A706D" w:rsidRPr="00C279E4" w:rsidRDefault="004A706D" w:rsidP="00C279E4">
      <w:pPr>
        <w:pStyle w:val="FootnoteText"/>
        <w:widowControl w:val="0"/>
        <w:spacing w:line="264" w:lineRule="auto"/>
        <w:rPr>
          <w:b w:val="0"/>
          <w:bCs w:val="0"/>
        </w:rPr>
      </w:pPr>
      <w:r w:rsidRPr="00C279E4">
        <w:rPr>
          <w:rStyle w:val="FootnoteReference"/>
          <w:b w:val="0"/>
          <w:bCs w:val="0"/>
        </w:rPr>
        <w:footnoteRef/>
      </w:r>
      <w:r w:rsidRPr="00C279E4">
        <w:rPr>
          <w:b w:val="0"/>
          <w:bCs w:val="0"/>
        </w:rPr>
        <w:t xml:space="preserve"> </w:t>
      </w:r>
      <w:r w:rsidRPr="00C279E4">
        <w:rPr>
          <w:rFonts w:hint="cs"/>
          <w:b w:val="0"/>
          <w:bCs w:val="0"/>
          <w:rtl/>
        </w:rPr>
        <w:t>תוספות</w:t>
      </w:r>
      <w:r w:rsidRPr="00C279E4">
        <w:rPr>
          <w:b w:val="0"/>
          <w:bCs w:val="0"/>
        </w:rPr>
        <w:t xml:space="preserve"> (by saying </w:t>
      </w:r>
      <w:r w:rsidRPr="00C279E4">
        <w:rPr>
          <w:rFonts w:hint="cs"/>
          <w:b w:val="0"/>
          <w:bCs w:val="0"/>
          <w:rtl/>
        </w:rPr>
        <w:t>פירוש</w:t>
      </w:r>
      <w:r w:rsidRPr="00C279E4">
        <w:rPr>
          <w:b w:val="0"/>
          <w:bCs w:val="0"/>
        </w:rPr>
        <w:t xml:space="preserve">) is seemingly negating </w:t>
      </w:r>
      <w:r w:rsidRPr="00C279E4">
        <w:rPr>
          <w:rFonts w:hint="cs"/>
          <w:b w:val="0"/>
          <w:bCs w:val="0"/>
          <w:rtl/>
        </w:rPr>
        <w:t>פירש"י (ד"ה עדות)</w:t>
      </w:r>
      <w:r w:rsidRPr="00C279E4">
        <w:rPr>
          <w:b w:val="0"/>
          <w:bCs w:val="0"/>
        </w:rPr>
        <w:t xml:space="preserve"> that we accept the testimony as if we saw the </w:t>
      </w:r>
      <w:r w:rsidRPr="00C279E4">
        <w:rPr>
          <w:rFonts w:hint="cs"/>
          <w:b w:val="0"/>
          <w:bCs w:val="0"/>
          <w:rtl/>
        </w:rPr>
        <w:t>חזקה</w:t>
      </w:r>
      <w:r w:rsidRPr="00C279E4">
        <w:rPr>
          <w:b w:val="0"/>
          <w:bCs w:val="0"/>
        </w:rPr>
        <w:t xml:space="preserve"> to which the </w:t>
      </w:r>
      <w:r w:rsidRPr="00C279E4">
        <w:rPr>
          <w:rFonts w:hint="cs"/>
          <w:b w:val="0"/>
          <w:bCs w:val="0"/>
          <w:rtl/>
        </w:rPr>
        <w:t>עד</w:t>
      </w:r>
      <w:r w:rsidRPr="00C279E4">
        <w:rPr>
          <w:b w:val="0"/>
          <w:bCs w:val="0"/>
        </w:rPr>
        <w:t xml:space="preserve"> testified. </w:t>
      </w:r>
      <w:r w:rsidRPr="00C279E4">
        <w:rPr>
          <w:rFonts w:hint="cs"/>
          <w:b w:val="0"/>
          <w:bCs w:val="0"/>
          <w:rtl/>
        </w:rPr>
        <w:t>תוספות</w:t>
      </w:r>
      <w:r w:rsidRPr="00C279E4">
        <w:rPr>
          <w:b w:val="0"/>
          <w:bCs w:val="0"/>
        </w:rPr>
        <w:t xml:space="preserve"> rejects this </w:t>
      </w:r>
      <w:r w:rsidRPr="00C279E4">
        <w:rPr>
          <w:rFonts w:hint="cs"/>
          <w:b w:val="0"/>
          <w:bCs w:val="0"/>
          <w:rtl/>
        </w:rPr>
        <w:t>פי'</w:t>
      </w:r>
      <w:r w:rsidRPr="00C279E4">
        <w:rPr>
          <w:b w:val="0"/>
          <w:bCs w:val="0"/>
        </w:rPr>
        <w:t xml:space="preserve"> for there is no </w:t>
      </w:r>
      <w:r w:rsidRPr="00C279E4">
        <w:rPr>
          <w:rFonts w:hint="cs"/>
          <w:b w:val="0"/>
          <w:bCs w:val="0"/>
          <w:rtl/>
        </w:rPr>
        <w:t>חידוש</w:t>
      </w:r>
      <w:r w:rsidRPr="00C279E4">
        <w:rPr>
          <w:b w:val="0"/>
          <w:bCs w:val="0"/>
        </w:rPr>
        <w:t>, it is obvious; why should we not accept the testimony.</w:t>
      </w:r>
      <w:r w:rsidR="00C279E4" w:rsidRPr="00C279E4">
        <w:rPr>
          <w:b w:val="0"/>
          <w:bCs w:val="0"/>
        </w:rPr>
        <w:t xml:space="preserve"> See </w:t>
      </w:r>
      <w:r w:rsidR="00C279E4" w:rsidRPr="00C279E4">
        <w:rPr>
          <w:rFonts w:hint="cs"/>
          <w:b w:val="0"/>
          <w:bCs w:val="0"/>
          <w:rtl/>
        </w:rPr>
        <w:t>מהרש"א</w:t>
      </w:r>
      <w:r w:rsidR="00C279E4" w:rsidRPr="00C279E4">
        <w:rPr>
          <w:b w:val="0"/>
          <w:bCs w:val="0"/>
        </w:rPr>
        <w:t xml:space="preserve"> for an alternate difficulty in </w:t>
      </w:r>
      <w:r w:rsidR="00C279E4" w:rsidRPr="00C279E4">
        <w:rPr>
          <w:rFonts w:hint="cs"/>
          <w:b w:val="0"/>
          <w:bCs w:val="0"/>
          <w:rtl/>
        </w:rPr>
        <w:t>פירש"י</w:t>
      </w:r>
      <w:r w:rsidR="00C279E4" w:rsidRPr="00C279E4">
        <w:rPr>
          <w:b w:val="0"/>
          <w:bCs w:val="0"/>
        </w:rPr>
        <w:t>.</w:t>
      </w:r>
    </w:p>
  </w:footnote>
  <w:footnote w:id="2">
    <w:p w:rsidR="004A706D" w:rsidRPr="00C279E4" w:rsidRDefault="004A706D" w:rsidP="00C279E4">
      <w:pPr>
        <w:pStyle w:val="FootnoteText"/>
        <w:widowControl w:val="0"/>
        <w:spacing w:line="264" w:lineRule="auto"/>
        <w:rPr>
          <w:b w:val="0"/>
          <w:bCs w:val="0"/>
        </w:rPr>
      </w:pPr>
      <w:r w:rsidRPr="00C279E4">
        <w:rPr>
          <w:rStyle w:val="FootnoteReference"/>
          <w:b w:val="0"/>
          <w:bCs w:val="0"/>
        </w:rPr>
        <w:footnoteRef/>
      </w:r>
      <w:r w:rsidRPr="00C279E4">
        <w:rPr>
          <w:b w:val="0"/>
          <w:bCs w:val="0"/>
        </w:rPr>
        <w:t xml:space="preserve"> It is </w:t>
      </w:r>
      <w:proofErr w:type="gramStart"/>
      <w:r w:rsidRPr="00C279E4">
        <w:rPr>
          <w:b w:val="0"/>
          <w:bCs w:val="0"/>
        </w:rPr>
        <w:t>an</w:t>
      </w:r>
      <w:proofErr w:type="gramEnd"/>
      <w:r w:rsidRPr="00C279E4">
        <w:rPr>
          <w:b w:val="0"/>
          <w:bCs w:val="0"/>
        </w:rPr>
        <w:t xml:space="preserve"> </w:t>
      </w:r>
      <w:r w:rsidRPr="00C279E4">
        <w:rPr>
          <w:rFonts w:hint="cs"/>
          <w:b w:val="0"/>
          <w:bCs w:val="0"/>
          <w:rtl/>
        </w:rPr>
        <w:t>עדות</w:t>
      </w:r>
      <w:r w:rsidRPr="00C279E4">
        <w:rPr>
          <w:b w:val="0"/>
          <w:bCs w:val="0"/>
        </w:rPr>
        <w:t xml:space="preserve"> on the </w:t>
      </w:r>
      <w:r w:rsidRPr="00C279E4">
        <w:rPr>
          <w:rFonts w:hint="cs"/>
          <w:b w:val="0"/>
          <w:bCs w:val="0"/>
          <w:rtl/>
        </w:rPr>
        <w:t>כהן</w:t>
      </w:r>
      <w:r w:rsidRPr="00C279E4">
        <w:rPr>
          <w:b w:val="0"/>
          <w:bCs w:val="0"/>
        </w:rPr>
        <w:t xml:space="preserve"> (that he was </w:t>
      </w:r>
      <w:r w:rsidRPr="00C279E4">
        <w:rPr>
          <w:rFonts w:hint="cs"/>
          <w:b w:val="0"/>
          <w:bCs w:val="0"/>
          <w:rtl/>
        </w:rPr>
        <w:t>קורא ראשון</w:t>
      </w:r>
      <w:r w:rsidRPr="00C279E4">
        <w:rPr>
          <w:b w:val="0"/>
          <w:bCs w:val="0"/>
        </w:rPr>
        <w:t xml:space="preserve">), which is substantiated by the </w:t>
      </w:r>
      <w:r w:rsidRPr="00C279E4">
        <w:rPr>
          <w:rFonts w:hint="cs"/>
          <w:b w:val="0"/>
          <w:bCs w:val="0"/>
          <w:rtl/>
        </w:rPr>
        <w:t>חזקה</w:t>
      </w:r>
      <w:r w:rsidRPr="00C279E4">
        <w:rPr>
          <w:b w:val="0"/>
          <w:bCs w:val="0"/>
        </w:rPr>
        <w:t xml:space="preserve"> of the </w:t>
      </w:r>
      <w:r w:rsidRPr="00C279E4">
        <w:rPr>
          <w:rFonts w:hint="cs"/>
          <w:b w:val="0"/>
          <w:bCs w:val="0"/>
          <w:rtl/>
        </w:rPr>
        <w:t>לוי</w:t>
      </w:r>
      <w:r w:rsidR="009665B3" w:rsidRPr="00C279E4">
        <w:rPr>
          <w:b w:val="0"/>
          <w:bCs w:val="0"/>
        </w:rPr>
        <w:t xml:space="preserve"> (who read after him)</w:t>
      </w:r>
      <w:r w:rsidRPr="00C279E4">
        <w:rPr>
          <w:b w:val="0"/>
          <w:bCs w:val="0"/>
        </w:rPr>
        <w:t xml:space="preserve">. </w:t>
      </w:r>
      <w:proofErr w:type="gramStart"/>
      <w:r w:rsidRPr="00C279E4">
        <w:rPr>
          <w:b w:val="0"/>
          <w:bCs w:val="0"/>
        </w:rPr>
        <w:t>See ‘Thinking it over’.</w:t>
      </w:r>
      <w:proofErr w:type="gramEnd"/>
    </w:p>
  </w:footnote>
  <w:footnote w:id="3">
    <w:p w:rsidR="009665B3" w:rsidRPr="00C279E4" w:rsidRDefault="009665B3" w:rsidP="00C279E4">
      <w:pPr>
        <w:pStyle w:val="FootnoteText"/>
        <w:widowControl w:val="0"/>
        <w:spacing w:line="264" w:lineRule="auto"/>
        <w:rPr>
          <w:b w:val="0"/>
          <w:bCs w:val="0"/>
        </w:rPr>
      </w:pPr>
      <w:r w:rsidRPr="00C279E4">
        <w:rPr>
          <w:rStyle w:val="FootnoteReference"/>
          <w:b w:val="0"/>
          <w:bCs w:val="0"/>
        </w:rPr>
        <w:footnoteRef/>
      </w:r>
      <w:r w:rsidRPr="00C279E4">
        <w:rPr>
          <w:b w:val="0"/>
          <w:bCs w:val="0"/>
        </w:rPr>
        <w:t xml:space="preserve"> See footnote # 2.</w:t>
      </w:r>
    </w:p>
  </w:footnote>
  <w:footnote w:id="4">
    <w:p w:rsidR="009665B3" w:rsidRPr="00C279E4" w:rsidRDefault="009665B3" w:rsidP="00C279E4">
      <w:pPr>
        <w:pStyle w:val="FootnoteText"/>
        <w:widowControl w:val="0"/>
        <w:spacing w:line="264" w:lineRule="auto"/>
        <w:rPr>
          <w:b w:val="0"/>
          <w:bCs w:val="0"/>
        </w:rPr>
      </w:pPr>
      <w:r w:rsidRPr="00C279E4">
        <w:rPr>
          <w:rStyle w:val="FootnoteReference"/>
          <w:b w:val="0"/>
          <w:bCs w:val="0"/>
        </w:rPr>
        <w:footnoteRef/>
      </w:r>
      <w:r w:rsidRPr="00C279E4">
        <w:rPr>
          <w:b w:val="0"/>
          <w:bCs w:val="0"/>
        </w:rPr>
        <w:t xml:space="preserve"> See </w:t>
      </w:r>
      <w:r w:rsidRPr="00C279E4">
        <w:rPr>
          <w:rFonts w:hint="cs"/>
          <w:b w:val="0"/>
          <w:bCs w:val="0"/>
          <w:rtl/>
        </w:rPr>
        <w:t>אילת השחר</w:t>
      </w:r>
      <w:r w:rsidRPr="00C279E4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06D" w:rsidRPr="004A706D" w:rsidRDefault="004A706D" w:rsidP="004A706D">
    <w:pPr>
      <w:pStyle w:val="Header"/>
      <w:bidi/>
      <w:rPr>
        <w:rFonts w:hint="cs"/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כה,ב תוס' ד"ה עדות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B58"/>
    <w:rsid w:val="00142C74"/>
    <w:rsid w:val="003D4453"/>
    <w:rsid w:val="004A706D"/>
    <w:rsid w:val="00826B58"/>
    <w:rsid w:val="009665B3"/>
    <w:rsid w:val="00C2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0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06D"/>
  </w:style>
  <w:style w:type="paragraph" w:styleId="Footer">
    <w:name w:val="footer"/>
    <w:basedOn w:val="Normal"/>
    <w:link w:val="FooterChar"/>
    <w:uiPriority w:val="99"/>
    <w:unhideWhenUsed/>
    <w:rsid w:val="004A70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06D"/>
  </w:style>
  <w:style w:type="paragraph" w:styleId="FootnoteText">
    <w:name w:val="footnote text"/>
    <w:basedOn w:val="Normal"/>
    <w:link w:val="FootnoteTextChar"/>
    <w:uiPriority w:val="99"/>
    <w:semiHidden/>
    <w:unhideWhenUsed/>
    <w:rsid w:val="004A706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70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A706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9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9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0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06D"/>
  </w:style>
  <w:style w:type="paragraph" w:styleId="Footer">
    <w:name w:val="footer"/>
    <w:basedOn w:val="Normal"/>
    <w:link w:val="FooterChar"/>
    <w:uiPriority w:val="99"/>
    <w:unhideWhenUsed/>
    <w:rsid w:val="004A70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06D"/>
  </w:style>
  <w:style w:type="paragraph" w:styleId="FootnoteText">
    <w:name w:val="footnote text"/>
    <w:basedOn w:val="Normal"/>
    <w:link w:val="FootnoteTextChar"/>
    <w:uiPriority w:val="99"/>
    <w:semiHidden/>
    <w:unhideWhenUsed/>
    <w:rsid w:val="004A706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70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A706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9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9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2</cp:revision>
  <dcterms:created xsi:type="dcterms:W3CDTF">2015-09-08T16:36:00Z</dcterms:created>
  <dcterms:modified xsi:type="dcterms:W3CDTF">2015-09-08T17:12:00Z</dcterms:modified>
</cp:coreProperties>
</file>