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AD6" w:rsidRDefault="00456AD6" w:rsidP="00263BCA">
      <w:pPr>
        <w:bidi/>
      </w:pPr>
      <w:r w:rsidRPr="00A44D62">
        <w:rPr>
          <w:sz w:val="36"/>
          <w:szCs w:val="36"/>
          <w:rtl/>
        </w:rPr>
        <w:t>נאמן</w:t>
      </w:r>
      <w:r>
        <w:rPr>
          <w:rFonts w:hint="cs"/>
          <w:rtl/>
        </w:rPr>
        <w:t xml:space="preserve"> </w:t>
      </w:r>
      <w:r w:rsidRPr="00A44D62">
        <w:rPr>
          <w:sz w:val="32"/>
          <w:szCs w:val="32"/>
          <w:rtl/>
        </w:rPr>
        <w:t>להאכילו בתרומה</w:t>
      </w:r>
      <w:r>
        <w:rPr>
          <w:rFonts w:hint="cs"/>
          <w:sz w:val="32"/>
          <w:szCs w:val="32"/>
          <w:rtl/>
        </w:rPr>
        <w:t xml:space="preserve"> -           </w:t>
      </w:r>
      <w:r w:rsidR="003667E2">
        <w:rPr>
          <w:sz w:val="32"/>
          <w:szCs w:val="32"/>
        </w:rPr>
        <w:t xml:space="preserve">  </w:t>
      </w:r>
      <w:r w:rsidR="003667E2">
        <w:rPr>
          <w:sz w:val="16"/>
          <w:szCs w:val="16"/>
        </w:rPr>
        <w:t xml:space="preserve">   </w:t>
      </w:r>
      <w:bookmarkStart w:id="0" w:name="_GoBack"/>
      <w:bookmarkEnd w:id="0"/>
      <w:r>
        <w:rPr>
          <w:rFonts w:hint="cs"/>
          <w:sz w:val="32"/>
          <w:szCs w:val="32"/>
          <w:rtl/>
        </w:rPr>
        <w:t xml:space="preserve">       </w:t>
      </w:r>
      <w:r>
        <w:rPr>
          <w:sz w:val="32"/>
          <w:szCs w:val="32"/>
        </w:rPr>
        <w:t xml:space="preserve">He is believed to feed him </w:t>
      </w:r>
      <w:proofErr w:type="spellStart"/>
      <w:r>
        <w:rPr>
          <w:i/>
          <w:iCs/>
          <w:sz w:val="32"/>
          <w:szCs w:val="32"/>
        </w:rPr>
        <w:t>Terumah</w:t>
      </w:r>
      <w:proofErr w:type="spellEnd"/>
    </w:p>
    <w:p w:rsidR="00456AD6" w:rsidRDefault="00456AD6" w:rsidP="00456AD6">
      <w:pPr>
        <w:bidi/>
        <w:rPr>
          <w:b w:val="0"/>
          <w:bCs w:val="0"/>
          <w:sz w:val="24"/>
          <w:szCs w:val="24"/>
          <w:rtl/>
        </w:rPr>
      </w:pPr>
    </w:p>
    <w:p w:rsidR="00456AD6" w:rsidRPr="00456AD6" w:rsidRDefault="00456AD6" w:rsidP="00456AD6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456AD6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1226D7" w:rsidRPr="00A44D62" w:rsidRDefault="001226D7" w:rsidP="003A2302">
      <w:pPr>
        <w:rPr>
          <w:b w:val="0"/>
          <w:bCs w:val="0"/>
          <w:rtl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cites a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in which </w:t>
      </w:r>
      <w:r>
        <w:rPr>
          <w:rFonts w:hint="cs"/>
          <w:b w:val="0"/>
          <w:bCs w:val="0"/>
          <w:rtl/>
        </w:rPr>
        <w:t>רבי</w:t>
      </w:r>
      <w:r>
        <w:rPr>
          <w:b w:val="0"/>
          <w:bCs w:val="0"/>
        </w:rPr>
        <w:t xml:space="preserve"> was </w:t>
      </w:r>
      <w:r>
        <w:rPr>
          <w:rFonts w:hint="cs"/>
          <w:b w:val="0"/>
          <w:bCs w:val="0"/>
          <w:rtl/>
        </w:rPr>
        <w:t>מעלה</w:t>
      </w:r>
      <w:r>
        <w:rPr>
          <w:b w:val="0"/>
          <w:bCs w:val="0"/>
        </w:rPr>
        <w:t xml:space="preserve"> a person </w:t>
      </w:r>
      <w:r>
        <w:rPr>
          <w:rFonts w:hint="cs"/>
          <w:b w:val="0"/>
          <w:bCs w:val="0"/>
          <w:rtl/>
        </w:rPr>
        <w:t>לכהונה</w:t>
      </w:r>
      <w:r>
        <w:rPr>
          <w:b w:val="0"/>
          <w:bCs w:val="0"/>
        </w:rPr>
        <w:t xml:space="preserve"> (for </w:t>
      </w:r>
      <w:r>
        <w:rPr>
          <w:rFonts w:hint="cs"/>
          <w:b w:val="0"/>
          <w:bCs w:val="0"/>
          <w:rtl/>
        </w:rPr>
        <w:t>תרומה</w:t>
      </w:r>
      <w:r>
        <w:rPr>
          <w:b w:val="0"/>
          <w:bCs w:val="0"/>
        </w:rPr>
        <w:t xml:space="preserve"> only, but not for </w:t>
      </w:r>
      <w:r>
        <w:rPr>
          <w:rFonts w:hint="cs"/>
          <w:b w:val="0"/>
          <w:bCs w:val="0"/>
          <w:rtl/>
        </w:rPr>
        <w:t>יוחסין</w:t>
      </w:r>
      <w:r>
        <w:rPr>
          <w:b w:val="0"/>
          <w:bCs w:val="0"/>
        </w:rPr>
        <w:t xml:space="preserve">) based on the testimony of his father. </w:t>
      </w:r>
      <w:r>
        <w:rPr>
          <w:rFonts w:hint="cs"/>
          <w:b w:val="0"/>
          <w:bCs w:val="0"/>
          <w:rtl/>
        </w:rPr>
        <w:t>רבי</w:t>
      </w:r>
      <w:r>
        <w:rPr>
          <w:b w:val="0"/>
          <w:bCs w:val="0"/>
        </w:rPr>
        <w:t xml:space="preserve"> explained that the father is believed </w:t>
      </w:r>
      <w:r>
        <w:rPr>
          <w:rFonts w:hint="cs"/>
          <w:b w:val="0"/>
          <w:bCs w:val="0"/>
          <w:rtl/>
        </w:rPr>
        <w:t>להאכילו תרומה</w:t>
      </w:r>
      <w:r>
        <w:rPr>
          <w:b w:val="0"/>
          <w:bCs w:val="0"/>
        </w:rPr>
        <w:t xml:space="preserve">, since it is </w:t>
      </w:r>
      <w:r>
        <w:rPr>
          <w:rFonts w:hint="cs"/>
          <w:b w:val="0"/>
          <w:bCs w:val="0"/>
          <w:rtl/>
        </w:rPr>
        <w:t>בידו להאכילו תרומה</w:t>
      </w:r>
      <w:r>
        <w:rPr>
          <w:b w:val="0"/>
          <w:bCs w:val="0"/>
        </w:rPr>
        <w:t xml:space="preserve"> (but not </w:t>
      </w:r>
      <w:r>
        <w:rPr>
          <w:rFonts w:hint="cs"/>
          <w:b w:val="0"/>
          <w:bCs w:val="0"/>
          <w:rtl/>
        </w:rPr>
        <w:t>בידו</w:t>
      </w:r>
      <w:r>
        <w:rPr>
          <w:b w:val="0"/>
          <w:bCs w:val="0"/>
        </w:rPr>
        <w:t xml:space="preserve"> to marry him to a </w:t>
      </w:r>
      <w:r>
        <w:rPr>
          <w:rFonts w:hint="cs"/>
          <w:b w:val="0"/>
          <w:bCs w:val="0"/>
          <w:rtl/>
        </w:rPr>
        <w:t>מיוחסת</w:t>
      </w:r>
      <w:r>
        <w:rPr>
          <w:b w:val="0"/>
          <w:bCs w:val="0"/>
        </w:rPr>
        <w:t xml:space="preserve">). Our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</w:t>
      </w:r>
      <w:r w:rsidR="003A2302">
        <w:rPr>
          <w:b w:val="0"/>
          <w:bCs w:val="0"/>
        </w:rPr>
        <w:t>reconciles this ruling with a seemingly contradictory ruling</w:t>
      </w:r>
      <w:r>
        <w:rPr>
          <w:b w:val="0"/>
          <w:bCs w:val="0"/>
        </w:rPr>
        <w:t>.</w:t>
      </w:r>
    </w:p>
    <w:p w:rsidR="00456AD6" w:rsidRDefault="003A2302" w:rsidP="003A2302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</w:t>
      </w:r>
    </w:p>
    <w:p w:rsidR="00456AD6" w:rsidRDefault="001226D7" w:rsidP="001226D7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asks:</w:t>
      </w:r>
    </w:p>
    <w:p w:rsidR="00456AD6" w:rsidRPr="003A2302" w:rsidRDefault="00263BCA" w:rsidP="003A2302">
      <w:pPr>
        <w:bidi/>
        <w:rPr>
          <w:rFonts w:cs="David"/>
          <w:rtl/>
        </w:rPr>
      </w:pPr>
      <w:r w:rsidRPr="003A2302">
        <w:rPr>
          <w:rFonts w:cs="David"/>
          <w:rtl/>
        </w:rPr>
        <w:t>הקשה ר</w:t>
      </w:r>
      <w:r w:rsidR="00456AD6" w:rsidRPr="003A2302">
        <w:rPr>
          <w:rFonts w:cs="David" w:hint="cs"/>
          <w:rtl/>
        </w:rPr>
        <w:t xml:space="preserve">בינו יצחק </w:t>
      </w:r>
      <w:r w:rsidRPr="003A2302">
        <w:rPr>
          <w:rFonts w:cs="David"/>
          <w:rtl/>
        </w:rPr>
        <w:t>ב</w:t>
      </w:r>
      <w:r w:rsidR="00456AD6" w:rsidRPr="003A2302">
        <w:rPr>
          <w:rFonts w:cs="David" w:hint="cs"/>
          <w:rtl/>
        </w:rPr>
        <w:t>ן מרדכי</w:t>
      </w:r>
      <w:r w:rsidRPr="003A2302">
        <w:rPr>
          <w:rFonts w:cs="David"/>
          <w:rtl/>
        </w:rPr>
        <w:t xml:space="preserve"> דתנן בפרק עשרה יוחסין </w:t>
      </w:r>
      <w:r w:rsidRPr="003A2302">
        <w:rPr>
          <w:rFonts w:cs="David"/>
          <w:sz w:val="20"/>
          <w:szCs w:val="20"/>
          <w:rtl/>
        </w:rPr>
        <w:t>(קדושין דף עט</w:t>
      </w:r>
      <w:r w:rsidR="00456AD6" w:rsidRPr="003A2302">
        <w:rPr>
          <w:rFonts w:cs="David" w:hint="cs"/>
          <w:sz w:val="20"/>
          <w:szCs w:val="20"/>
          <w:rtl/>
        </w:rPr>
        <w:t>,ב</w:t>
      </w:r>
      <w:r w:rsidRPr="003A2302">
        <w:rPr>
          <w:rFonts w:cs="David"/>
          <w:sz w:val="20"/>
          <w:szCs w:val="20"/>
          <w:rtl/>
        </w:rPr>
        <w:t xml:space="preserve"> ושם)</w:t>
      </w:r>
      <w:r w:rsidRPr="003A2302">
        <w:rPr>
          <w:rFonts w:cs="David"/>
          <w:rtl/>
        </w:rPr>
        <w:t xml:space="preserve"> </w:t>
      </w:r>
      <w:r w:rsidR="003A2302">
        <w:rPr>
          <w:rFonts w:cs="David" w:hint="cs"/>
          <w:rtl/>
        </w:rPr>
        <w:t>-</w:t>
      </w:r>
    </w:p>
    <w:p w:rsidR="001226D7" w:rsidRPr="001226D7" w:rsidRDefault="001226D7" w:rsidP="001226D7">
      <w:r>
        <w:t xml:space="preserve">The </w:t>
      </w:r>
      <w:r>
        <w:rPr>
          <w:rFonts w:hint="cs"/>
          <w:rtl/>
        </w:rPr>
        <w:t>ריב"ם</w:t>
      </w:r>
      <w:r>
        <w:t xml:space="preserve"> asked; we learnt </w:t>
      </w:r>
      <w:r>
        <w:rPr>
          <w:b w:val="0"/>
          <w:bCs w:val="0"/>
        </w:rPr>
        <w:t xml:space="preserve">in a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</w:t>
      </w:r>
      <w:r>
        <w:t xml:space="preserve">in </w:t>
      </w:r>
      <w:r>
        <w:rPr>
          <w:rFonts w:hint="cs"/>
          <w:rtl/>
        </w:rPr>
        <w:t>פרק עשרה יוחסין</w:t>
      </w:r>
      <w:r>
        <w:t xml:space="preserve"> -</w:t>
      </w:r>
    </w:p>
    <w:p w:rsidR="00456AD6" w:rsidRPr="003A2302" w:rsidRDefault="00263BCA" w:rsidP="003A2302">
      <w:pPr>
        <w:bidi/>
        <w:rPr>
          <w:rFonts w:cs="David"/>
        </w:rPr>
      </w:pPr>
      <w:r w:rsidRPr="003A2302">
        <w:rPr>
          <w:rFonts w:cs="David"/>
          <w:rtl/>
        </w:rPr>
        <w:t>מי שיצא הוא ואשתו למדינת הים וכשחזר הביא עמו בנים ומתה אשתו</w:t>
      </w:r>
      <w:r w:rsidR="00E9023C" w:rsidRPr="003A2302">
        <w:rPr>
          <w:rStyle w:val="FootnoteReference"/>
          <w:rFonts w:cs="David"/>
          <w:rtl/>
        </w:rPr>
        <w:footnoteReference w:id="1"/>
      </w:r>
      <w:r w:rsidRPr="003A2302">
        <w:rPr>
          <w:rFonts w:cs="David"/>
          <w:rtl/>
        </w:rPr>
        <w:t xml:space="preserve"> </w:t>
      </w:r>
      <w:r w:rsidR="003A2302">
        <w:rPr>
          <w:rFonts w:cs="David" w:hint="cs"/>
          <w:rtl/>
        </w:rPr>
        <w:t>-</w:t>
      </w:r>
    </w:p>
    <w:p w:rsidR="001226D7" w:rsidRPr="001226D7" w:rsidRDefault="001226D7" w:rsidP="001226D7">
      <w:r>
        <w:t xml:space="preserve">A </w:t>
      </w:r>
      <w:r>
        <w:rPr>
          <w:rFonts w:hint="cs"/>
          <w:b w:val="0"/>
          <w:bCs w:val="0"/>
          <w:rtl/>
        </w:rPr>
        <w:t>כהן</w:t>
      </w:r>
      <w:r>
        <w:rPr>
          <w:b w:val="0"/>
          <w:bCs w:val="0"/>
        </w:rPr>
        <w:t xml:space="preserve"> </w:t>
      </w:r>
      <w:r>
        <w:t>who left with his wife overseas, and when he returned, he brought children with him and his wife died -</w:t>
      </w:r>
    </w:p>
    <w:p w:rsidR="00456AD6" w:rsidRPr="003A2302" w:rsidRDefault="00263BCA" w:rsidP="003A2302">
      <w:pPr>
        <w:bidi/>
        <w:rPr>
          <w:rFonts w:cs="David"/>
        </w:rPr>
      </w:pPr>
      <w:r w:rsidRPr="003A2302">
        <w:rPr>
          <w:rFonts w:cs="David"/>
          <w:rtl/>
        </w:rPr>
        <w:t>צריך להביא ראיה על בניו</w:t>
      </w:r>
      <w:r w:rsidR="003A2302">
        <w:rPr>
          <w:rFonts w:cs="David" w:hint="cs"/>
          <w:rtl/>
        </w:rPr>
        <w:t xml:space="preserve"> -</w:t>
      </w:r>
    </w:p>
    <w:p w:rsidR="001226D7" w:rsidRPr="003A2302" w:rsidRDefault="001226D7" w:rsidP="00E9023C">
      <w:pPr>
        <w:rPr>
          <w:sz w:val="24"/>
          <w:szCs w:val="24"/>
          <w:rtl/>
        </w:rPr>
      </w:pPr>
      <w:r>
        <w:t>It is necessary for him to bring proof</w:t>
      </w:r>
      <w:r w:rsidR="00E9023C">
        <w:t xml:space="preserve"> regarding his children.</w:t>
      </w:r>
      <w:r w:rsidR="00E9023C">
        <w:rPr>
          <w:b w:val="0"/>
          <w:bCs w:val="0"/>
        </w:rPr>
        <w:t xml:space="preserve"> </w:t>
      </w:r>
      <w:r w:rsidR="00E9023C" w:rsidRPr="003A2302">
        <w:rPr>
          <w:b w:val="0"/>
          <w:bCs w:val="0"/>
          <w:sz w:val="24"/>
          <w:szCs w:val="24"/>
        </w:rPr>
        <w:t xml:space="preserve">This concludes the </w:t>
      </w:r>
      <w:r w:rsidR="00E9023C" w:rsidRPr="003A2302">
        <w:rPr>
          <w:rFonts w:hint="cs"/>
          <w:b w:val="0"/>
          <w:bCs w:val="0"/>
          <w:sz w:val="24"/>
          <w:szCs w:val="24"/>
          <w:rtl/>
        </w:rPr>
        <w:t>משנה</w:t>
      </w:r>
      <w:r w:rsidR="00E9023C" w:rsidRPr="003A2302">
        <w:rPr>
          <w:b w:val="0"/>
          <w:bCs w:val="0"/>
          <w:sz w:val="24"/>
          <w:szCs w:val="24"/>
        </w:rPr>
        <w:t>.</w:t>
      </w:r>
      <w:r w:rsidRPr="003A2302">
        <w:rPr>
          <w:sz w:val="24"/>
          <w:szCs w:val="24"/>
        </w:rPr>
        <w:t xml:space="preserve"> </w:t>
      </w:r>
      <w:r w:rsidR="00E9023C" w:rsidRPr="003A2302">
        <w:rPr>
          <w:rFonts w:hint="cs"/>
          <w:b w:val="0"/>
          <w:bCs w:val="0"/>
          <w:sz w:val="24"/>
          <w:szCs w:val="24"/>
          <w:rtl/>
        </w:rPr>
        <w:t>תוספות</w:t>
      </w:r>
      <w:r w:rsidR="00E9023C" w:rsidRPr="003A2302">
        <w:rPr>
          <w:b w:val="0"/>
          <w:bCs w:val="0"/>
          <w:sz w:val="24"/>
          <w:szCs w:val="24"/>
        </w:rPr>
        <w:t xml:space="preserve"> continues -</w:t>
      </w:r>
      <w:r w:rsidRPr="003A2302">
        <w:rPr>
          <w:b w:val="0"/>
          <w:bCs w:val="0"/>
          <w:sz w:val="24"/>
          <w:szCs w:val="24"/>
        </w:rPr>
        <w:t xml:space="preserve"> </w:t>
      </w:r>
      <w:r w:rsidRPr="003A2302">
        <w:rPr>
          <w:sz w:val="24"/>
          <w:szCs w:val="24"/>
        </w:rPr>
        <w:t xml:space="preserve"> </w:t>
      </w:r>
    </w:p>
    <w:p w:rsidR="00E9023C" w:rsidRPr="003A2302" w:rsidRDefault="00E9023C" w:rsidP="003A2302">
      <w:pPr>
        <w:bidi/>
        <w:rPr>
          <w:rFonts w:cs="David"/>
        </w:rPr>
      </w:pPr>
      <w:r w:rsidRPr="003A2302">
        <w:rPr>
          <w:rFonts w:cs="David"/>
          <w:rtl/>
        </w:rPr>
        <w:t xml:space="preserve">ואינו נאמן להאכילם בתרומה </w:t>
      </w:r>
      <w:r w:rsidR="00263BCA" w:rsidRPr="003A2302">
        <w:rPr>
          <w:rFonts w:cs="David"/>
          <w:rtl/>
        </w:rPr>
        <w:t>כדמוכח התם בגמ</w:t>
      </w:r>
      <w:r w:rsidR="00456AD6" w:rsidRPr="003A2302">
        <w:rPr>
          <w:rFonts w:cs="David" w:hint="cs"/>
          <w:rtl/>
        </w:rPr>
        <w:t>רא</w:t>
      </w:r>
      <w:r w:rsidR="00263BCA" w:rsidRPr="003A2302">
        <w:rPr>
          <w:rFonts w:cs="David"/>
          <w:rtl/>
        </w:rPr>
        <w:t xml:space="preserve"> </w:t>
      </w:r>
      <w:r w:rsidR="003A2302">
        <w:rPr>
          <w:rFonts w:cs="David" w:hint="cs"/>
          <w:rtl/>
        </w:rPr>
        <w:t>-</w:t>
      </w:r>
    </w:p>
    <w:p w:rsidR="00E9023C" w:rsidRPr="00E9023C" w:rsidRDefault="00E9023C" w:rsidP="00E9023C">
      <w:pPr>
        <w:rPr>
          <w:rtl/>
        </w:rPr>
      </w:pPr>
      <w:r>
        <w:t xml:space="preserve">And he is not believed to feed them </w:t>
      </w:r>
      <w:r>
        <w:rPr>
          <w:rFonts w:hint="cs"/>
          <w:rtl/>
        </w:rPr>
        <w:t>תרומה</w:t>
      </w:r>
      <w:r>
        <w:t xml:space="preserve">, </w:t>
      </w:r>
      <w:r>
        <w:rPr>
          <w:b w:val="0"/>
          <w:bCs w:val="0"/>
        </w:rPr>
        <w:t>without proof that they are indeed his children</w:t>
      </w:r>
      <w:r w:rsidR="003A2302">
        <w:rPr>
          <w:b w:val="0"/>
          <w:bCs w:val="0"/>
        </w:rPr>
        <w:t>,</w:t>
      </w:r>
      <w:r>
        <w:rPr>
          <w:b w:val="0"/>
          <w:bCs w:val="0"/>
        </w:rPr>
        <w:t xml:space="preserve"> </w:t>
      </w:r>
      <w:r>
        <w:t xml:space="preserve">as is evident there in the </w:t>
      </w:r>
      <w:r>
        <w:rPr>
          <w:rFonts w:hint="cs"/>
          <w:rtl/>
        </w:rPr>
        <w:t>גמרא</w:t>
      </w:r>
      <w:r>
        <w:t xml:space="preserve"> - </w:t>
      </w:r>
    </w:p>
    <w:p w:rsidR="00456AD6" w:rsidRPr="003A2302" w:rsidRDefault="00263BCA" w:rsidP="003A2302">
      <w:pPr>
        <w:bidi/>
        <w:rPr>
          <w:rFonts w:cs="David"/>
        </w:rPr>
      </w:pPr>
      <w:r w:rsidRPr="003A2302">
        <w:rPr>
          <w:rFonts w:cs="David"/>
          <w:rtl/>
        </w:rPr>
        <w:t>דתניא התם הביא ראיה על הגדולים</w:t>
      </w:r>
      <w:r w:rsidR="0014203B" w:rsidRPr="003A2302">
        <w:rPr>
          <w:rStyle w:val="FootnoteReference"/>
          <w:rFonts w:cs="David"/>
          <w:rtl/>
        </w:rPr>
        <w:footnoteReference w:id="2"/>
      </w:r>
      <w:r w:rsidRPr="003A2302">
        <w:rPr>
          <w:rFonts w:cs="David"/>
          <w:rtl/>
        </w:rPr>
        <w:t xml:space="preserve"> א</w:t>
      </w:r>
      <w:r w:rsidR="00456AD6" w:rsidRPr="003A2302">
        <w:rPr>
          <w:rFonts w:cs="David" w:hint="cs"/>
          <w:rtl/>
        </w:rPr>
        <w:t xml:space="preserve">ין </w:t>
      </w:r>
      <w:r w:rsidRPr="003A2302">
        <w:rPr>
          <w:rFonts w:cs="David"/>
          <w:rtl/>
        </w:rPr>
        <w:t>צ</w:t>
      </w:r>
      <w:r w:rsidR="00456AD6" w:rsidRPr="003A2302">
        <w:rPr>
          <w:rFonts w:cs="David" w:hint="cs"/>
          <w:rtl/>
        </w:rPr>
        <w:t>ריך</w:t>
      </w:r>
      <w:r w:rsidRPr="003A2302">
        <w:rPr>
          <w:rFonts w:cs="David"/>
          <w:rtl/>
        </w:rPr>
        <w:t xml:space="preserve"> ראיה על הקטנים</w:t>
      </w:r>
      <w:r w:rsidR="00E9023C" w:rsidRPr="003A2302">
        <w:rPr>
          <w:rStyle w:val="FootnoteReference"/>
          <w:rFonts w:cs="David"/>
          <w:rtl/>
        </w:rPr>
        <w:footnoteReference w:id="3"/>
      </w:r>
      <w:r w:rsidRPr="003A2302">
        <w:rPr>
          <w:rFonts w:cs="David"/>
          <w:rtl/>
        </w:rPr>
        <w:t xml:space="preserve"> </w:t>
      </w:r>
      <w:r w:rsidR="003A2302">
        <w:rPr>
          <w:rFonts w:cs="David" w:hint="cs"/>
          <w:rtl/>
        </w:rPr>
        <w:t>-</w:t>
      </w:r>
    </w:p>
    <w:p w:rsidR="00E9023C" w:rsidRPr="003A2302" w:rsidRDefault="00E9023C" w:rsidP="00E9023C">
      <w:pPr>
        <w:rPr>
          <w:sz w:val="24"/>
          <w:szCs w:val="24"/>
        </w:rPr>
      </w:pPr>
      <w:r>
        <w:t xml:space="preserve">For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there </w:t>
      </w:r>
      <w:r>
        <w:rPr>
          <w:b w:val="0"/>
          <w:bCs w:val="0"/>
        </w:rPr>
        <w:t xml:space="preserve">cites </w:t>
      </w:r>
      <w:r>
        <w:t xml:space="preserve">a </w:t>
      </w:r>
      <w:r>
        <w:rPr>
          <w:rFonts w:hint="cs"/>
          <w:rtl/>
        </w:rPr>
        <w:t>ברייתא</w:t>
      </w:r>
      <w:r>
        <w:t xml:space="preserve"> which states; </w:t>
      </w:r>
      <w:r>
        <w:rPr>
          <w:b w:val="0"/>
          <w:bCs w:val="0"/>
        </w:rPr>
        <w:t xml:space="preserve">if </w:t>
      </w:r>
      <w:r>
        <w:t xml:space="preserve">he brought proof regarding his older </w:t>
      </w:r>
      <w:r>
        <w:rPr>
          <w:b w:val="0"/>
          <w:bCs w:val="0"/>
        </w:rPr>
        <w:t xml:space="preserve">children, </w:t>
      </w:r>
      <w:r>
        <w:t>no proof is required for the younger children</w:t>
      </w:r>
      <w:r w:rsidR="0014203B">
        <w:rPr>
          <w:b w:val="0"/>
          <w:bCs w:val="0"/>
        </w:rPr>
        <w:t xml:space="preserve">. </w:t>
      </w:r>
      <w:r w:rsidR="0014203B" w:rsidRPr="003A2302">
        <w:rPr>
          <w:b w:val="0"/>
          <w:bCs w:val="0"/>
          <w:sz w:val="24"/>
          <w:szCs w:val="24"/>
        </w:rPr>
        <w:t xml:space="preserve">This concludes the </w:t>
      </w:r>
      <w:r w:rsidR="0014203B" w:rsidRPr="003A2302">
        <w:rPr>
          <w:rFonts w:hint="cs"/>
          <w:b w:val="0"/>
          <w:bCs w:val="0"/>
          <w:sz w:val="24"/>
          <w:szCs w:val="24"/>
          <w:rtl/>
        </w:rPr>
        <w:t>ברייתא</w:t>
      </w:r>
      <w:r w:rsidRPr="003A2302">
        <w:rPr>
          <w:sz w:val="24"/>
          <w:szCs w:val="24"/>
        </w:rPr>
        <w:t xml:space="preserve"> -</w:t>
      </w:r>
    </w:p>
    <w:p w:rsidR="00456AD6" w:rsidRPr="003A2302" w:rsidRDefault="00263BCA" w:rsidP="003A2302">
      <w:pPr>
        <w:bidi/>
        <w:rPr>
          <w:rFonts w:cs="David"/>
        </w:rPr>
      </w:pPr>
      <w:r w:rsidRPr="003A2302">
        <w:rPr>
          <w:rFonts w:cs="David"/>
          <w:rtl/>
        </w:rPr>
        <w:t>ואמר ר</w:t>
      </w:r>
      <w:r w:rsidR="00456AD6" w:rsidRPr="003A2302">
        <w:rPr>
          <w:rFonts w:cs="David" w:hint="cs"/>
          <w:rtl/>
        </w:rPr>
        <w:t xml:space="preserve">בי </w:t>
      </w:r>
      <w:r w:rsidRPr="003A2302">
        <w:rPr>
          <w:rFonts w:cs="David"/>
          <w:rtl/>
        </w:rPr>
        <w:t>ש</w:t>
      </w:r>
      <w:r w:rsidR="00456AD6" w:rsidRPr="003A2302">
        <w:rPr>
          <w:rFonts w:cs="David" w:hint="cs"/>
          <w:rtl/>
        </w:rPr>
        <w:t xml:space="preserve">מעון </w:t>
      </w:r>
      <w:r w:rsidRPr="003A2302">
        <w:rPr>
          <w:rFonts w:cs="David"/>
          <w:rtl/>
        </w:rPr>
        <w:t>ב</w:t>
      </w:r>
      <w:r w:rsidR="00456AD6" w:rsidRPr="003A2302">
        <w:rPr>
          <w:rFonts w:cs="David" w:hint="cs"/>
          <w:rtl/>
        </w:rPr>
        <w:t xml:space="preserve">ן </w:t>
      </w:r>
      <w:r w:rsidRPr="003A2302">
        <w:rPr>
          <w:rFonts w:cs="David"/>
          <w:rtl/>
        </w:rPr>
        <w:t>ל</w:t>
      </w:r>
      <w:r w:rsidR="00456AD6" w:rsidRPr="003A2302">
        <w:rPr>
          <w:rFonts w:cs="David" w:hint="cs"/>
          <w:rtl/>
        </w:rPr>
        <w:t>קיש</w:t>
      </w:r>
      <w:r w:rsidRPr="003A2302">
        <w:rPr>
          <w:rFonts w:cs="David"/>
          <w:rtl/>
        </w:rPr>
        <w:t xml:space="preserve"> עלה לא שנו אלא בקדשי הגבול אבל ליוחסין לא </w:t>
      </w:r>
      <w:r w:rsidR="003A2302">
        <w:rPr>
          <w:rFonts w:cs="David" w:hint="cs"/>
          <w:rtl/>
        </w:rPr>
        <w:t>-</w:t>
      </w:r>
    </w:p>
    <w:p w:rsidR="0014203B" w:rsidRPr="003A2302" w:rsidRDefault="0014203B" w:rsidP="0014203B">
      <w:pPr>
        <w:rPr>
          <w:b w:val="0"/>
          <w:bCs w:val="0"/>
          <w:sz w:val="24"/>
          <w:szCs w:val="24"/>
        </w:rPr>
      </w:pPr>
      <w:r>
        <w:t xml:space="preserve">And </w:t>
      </w:r>
      <w:r>
        <w:rPr>
          <w:rFonts w:hint="cs"/>
          <w:rtl/>
        </w:rPr>
        <w:t>ר"ל</w:t>
      </w:r>
      <w:r>
        <w:t xml:space="preserve"> commented on this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, this rule that </w:t>
      </w:r>
      <w:r>
        <w:rPr>
          <w:rFonts w:hint="cs"/>
          <w:b w:val="0"/>
          <w:bCs w:val="0"/>
          <w:rtl/>
        </w:rPr>
        <w:t>א"צ ראיה על הקטנים</w:t>
      </w:r>
      <w:r>
        <w:rPr>
          <w:b w:val="0"/>
          <w:bCs w:val="0"/>
        </w:rPr>
        <w:t xml:space="preserve"> </w:t>
      </w:r>
      <w:r>
        <w:t xml:space="preserve">was taught only in regards to </w:t>
      </w:r>
      <w:r w:rsidR="006E5DC2">
        <w:rPr>
          <w:rFonts w:hint="cs"/>
          <w:rtl/>
        </w:rPr>
        <w:t>קדשי הגבול</w:t>
      </w:r>
      <w:r w:rsidR="006E5DC2">
        <w:t xml:space="preserve"> </w:t>
      </w:r>
      <w:r w:rsidR="006E5DC2">
        <w:rPr>
          <w:b w:val="0"/>
          <w:bCs w:val="0"/>
        </w:rPr>
        <w:t xml:space="preserve">(which is </w:t>
      </w:r>
      <w:r w:rsidR="006E5DC2">
        <w:rPr>
          <w:rFonts w:hint="cs"/>
          <w:b w:val="0"/>
          <w:bCs w:val="0"/>
          <w:rtl/>
        </w:rPr>
        <w:t>תרומה</w:t>
      </w:r>
      <w:r w:rsidR="006E5DC2">
        <w:rPr>
          <w:b w:val="0"/>
          <w:bCs w:val="0"/>
        </w:rPr>
        <w:t xml:space="preserve">), </w:t>
      </w:r>
      <w:r w:rsidR="006E5DC2">
        <w:t xml:space="preserve">but not in regards to </w:t>
      </w:r>
      <w:r w:rsidR="006E5DC2">
        <w:rPr>
          <w:rFonts w:hint="cs"/>
          <w:rtl/>
        </w:rPr>
        <w:t>יוחסין</w:t>
      </w:r>
      <w:r w:rsidR="006E5DC2">
        <w:t xml:space="preserve">; </w:t>
      </w:r>
      <w:r w:rsidR="006E5DC2" w:rsidRPr="003A2302">
        <w:rPr>
          <w:b w:val="0"/>
          <w:bCs w:val="0"/>
          <w:sz w:val="24"/>
          <w:szCs w:val="24"/>
        </w:rPr>
        <w:t xml:space="preserve">regarding </w:t>
      </w:r>
      <w:r w:rsidR="006E5DC2" w:rsidRPr="003A2302">
        <w:rPr>
          <w:rFonts w:hint="cs"/>
          <w:b w:val="0"/>
          <w:bCs w:val="0"/>
          <w:sz w:val="24"/>
          <w:szCs w:val="24"/>
          <w:rtl/>
        </w:rPr>
        <w:t>יוחסין</w:t>
      </w:r>
      <w:r w:rsidR="006E5DC2" w:rsidRPr="003A2302">
        <w:rPr>
          <w:b w:val="0"/>
          <w:bCs w:val="0"/>
          <w:sz w:val="24"/>
          <w:szCs w:val="24"/>
        </w:rPr>
        <w:t xml:space="preserve"> he needs to bring a </w:t>
      </w:r>
      <w:r w:rsidR="006E5DC2" w:rsidRPr="003A2302">
        <w:rPr>
          <w:rFonts w:hint="cs"/>
          <w:b w:val="0"/>
          <w:bCs w:val="0"/>
          <w:sz w:val="24"/>
          <w:szCs w:val="24"/>
          <w:rtl/>
        </w:rPr>
        <w:t>ראיה</w:t>
      </w:r>
      <w:r w:rsidR="006E5DC2" w:rsidRPr="003A2302">
        <w:rPr>
          <w:b w:val="0"/>
          <w:bCs w:val="0"/>
          <w:sz w:val="24"/>
          <w:szCs w:val="24"/>
        </w:rPr>
        <w:t xml:space="preserve"> even for the </w:t>
      </w:r>
      <w:r w:rsidR="006E5DC2" w:rsidRPr="003A2302">
        <w:rPr>
          <w:rFonts w:hint="cs"/>
          <w:b w:val="0"/>
          <w:bCs w:val="0"/>
          <w:sz w:val="24"/>
          <w:szCs w:val="24"/>
          <w:rtl/>
        </w:rPr>
        <w:t>קטנים</w:t>
      </w:r>
      <w:r w:rsidR="006E5DC2" w:rsidRPr="003A2302">
        <w:rPr>
          <w:b w:val="0"/>
          <w:bCs w:val="0"/>
          <w:sz w:val="24"/>
          <w:szCs w:val="24"/>
        </w:rPr>
        <w:t xml:space="preserve"> (who are </w:t>
      </w:r>
      <w:r w:rsidR="006E5DC2" w:rsidRPr="003A2302">
        <w:rPr>
          <w:rFonts w:hint="cs"/>
          <w:b w:val="0"/>
          <w:bCs w:val="0"/>
          <w:sz w:val="24"/>
          <w:szCs w:val="24"/>
          <w:rtl/>
        </w:rPr>
        <w:t>כרוכים אחריה</w:t>
      </w:r>
      <w:r w:rsidR="006E5DC2" w:rsidRPr="003A2302">
        <w:rPr>
          <w:b w:val="0"/>
          <w:bCs w:val="0"/>
          <w:sz w:val="24"/>
          <w:szCs w:val="24"/>
        </w:rPr>
        <w:t xml:space="preserve">). In any event it is evident from that </w:t>
      </w:r>
      <w:r w:rsidR="006E5DC2" w:rsidRPr="003A2302">
        <w:rPr>
          <w:rFonts w:hint="cs"/>
          <w:b w:val="0"/>
          <w:bCs w:val="0"/>
          <w:sz w:val="24"/>
          <w:szCs w:val="24"/>
          <w:rtl/>
        </w:rPr>
        <w:t>גמרא</w:t>
      </w:r>
      <w:r w:rsidR="006E5DC2" w:rsidRPr="003A2302">
        <w:rPr>
          <w:b w:val="0"/>
          <w:bCs w:val="0"/>
          <w:sz w:val="24"/>
          <w:szCs w:val="24"/>
        </w:rPr>
        <w:t xml:space="preserve"> that regarding both </w:t>
      </w:r>
      <w:r w:rsidR="006E5DC2" w:rsidRPr="003A2302">
        <w:rPr>
          <w:rFonts w:hint="cs"/>
          <w:b w:val="0"/>
          <w:bCs w:val="0"/>
          <w:sz w:val="24"/>
          <w:szCs w:val="24"/>
          <w:rtl/>
        </w:rPr>
        <w:t>קטנים</w:t>
      </w:r>
      <w:r w:rsidR="006E5DC2" w:rsidRPr="003A2302">
        <w:rPr>
          <w:b w:val="0"/>
          <w:bCs w:val="0"/>
          <w:sz w:val="24"/>
          <w:szCs w:val="24"/>
        </w:rPr>
        <w:t xml:space="preserve"> and </w:t>
      </w:r>
      <w:r w:rsidR="006E5DC2" w:rsidRPr="003A2302">
        <w:rPr>
          <w:rFonts w:hint="cs"/>
          <w:b w:val="0"/>
          <w:bCs w:val="0"/>
          <w:sz w:val="24"/>
          <w:szCs w:val="24"/>
          <w:rtl/>
        </w:rPr>
        <w:t>גדולים</w:t>
      </w:r>
      <w:r w:rsidR="006E5DC2" w:rsidRPr="003A2302">
        <w:rPr>
          <w:b w:val="0"/>
          <w:bCs w:val="0"/>
          <w:sz w:val="24"/>
          <w:szCs w:val="24"/>
        </w:rPr>
        <w:t xml:space="preserve"> we do not depend on his word, but we need some outside proof (at least </w:t>
      </w:r>
      <w:r w:rsidR="006E5DC2" w:rsidRPr="003A2302">
        <w:rPr>
          <w:rFonts w:hint="cs"/>
          <w:b w:val="0"/>
          <w:bCs w:val="0"/>
          <w:sz w:val="24"/>
          <w:szCs w:val="24"/>
          <w:rtl/>
        </w:rPr>
        <w:t>כרוכים אחריה</w:t>
      </w:r>
      <w:r w:rsidR="006E5DC2" w:rsidRPr="003A2302">
        <w:rPr>
          <w:b w:val="0"/>
          <w:bCs w:val="0"/>
          <w:sz w:val="24"/>
          <w:szCs w:val="24"/>
        </w:rPr>
        <w:t xml:space="preserve"> by </w:t>
      </w:r>
      <w:r w:rsidR="006E5DC2" w:rsidRPr="003A2302">
        <w:rPr>
          <w:rFonts w:hint="cs"/>
          <w:b w:val="0"/>
          <w:bCs w:val="0"/>
          <w:sz w:val="24"/>
          <w:szCs w:val="24"/>
          <w:rtl/>
        </w:rPr>
        <w:t>קטנים</w:t>
      </w:r>
      <w:r w:rsidR="006E5DC2" w:rsidRPr="003A2302">
        <w:rPr>
          <w:b w:val="0"/>
          <w:bCs w:val="0"/>
          <w:sz w:val="24"/>
          <w:szCs w:val="24"/>
        </w:rPr>
        <w:t xml:space="preserve">) - </w:t>
      </w:r>
    </w:p>
    <w:p w:rsidR="00456AD6" w:rsidRPr="003A2302" w:rsidRDefault="00263BCA" w:rsidP="003A2302">
      <w:pPr>
        <w:widowControl w:val="0"/>
        <w:bidi/>
        <w:rPr>
          <w:rFonts w:cs="David"/>
        </w:rPr>
      </w:pPr>
      <w:r w:rsidRPr="003A2302">
        <w:rPr>
          <w:rFonts w:cs="David"/>
          <w:rtl/>
        </w:rPr>
        <w:t>והיכי קאמר רבי הכא דאב נאמן להאכילו בתרומה</w:t>
      </w:r>
      <w:r w:rsidR="003A2302">
        <w:rPr>
          <w:rStyle w:val="FootnoteReference"/>
          <w:rFonts w:cs="David"/>
          <w:rtl/>
        </w:rPr>
        <w:footnoteReference w:id="4"/>
      </w:r>
      <w:r w:rsidRPr="003A2302">
        <w:rPr>
          <w:rFonts w:cs="David"/>
          <w:rtl/>
        </w:rPr>
        <w:t xml:space="preserve"> </w:t>
      </w:r>
      <w:r w:rsidR="003A2302">
        <w:rPr>
          <w:rFonts w:cs="David" w:hint="cs"/>
          <w:rtl/>
        </w:rPr>
        <w:t>-</w:t>
      </w:r>
    </w:p>
    <w:p w:rsidR="006E5DC2" w:rsidRPr="00683640" w:rsidRDefault="006E5DC2" w:rsidP="003A2302">
      <w:pPr>
        <w:widowControl w:val="0"/>
        <w:rPr>
          <w:b w:val="0"/>
          <w:bCs w:val="0"/>
          <w:sz w:val="24"/>
          <w:szCs w:val="24"/>
        </w:rPr>
      </w:pPr>
      <w:r>
        <w:lastRenderedPageBreak/>
        <w:t xml:space="preserve">So how can </w:t>
      </w:r>
      <w:r>
        <w:rPr>
          <w:rFonts w:hint="cs"/>
          <w:rtl/>
        </w:rPr>
        <w:t>רבי</w:t>
      </w:r>
      <w:r>
        <w:t xml:space="preserve"> rule here that the father is believed to be </w:t>
      </w:r>
      <w:r>
        <w:rPr>
          <w:rFonts w:hint="cs"/>
          <w:rtl/>
        </w:rPr>
        <w:t>מאכיל</w:t>
      </w:r>
      <w:r>
        <w:t xml:space="preserve"> his </w:t>
      </w:r>
      <w:r>
        <w:rPr>
          <w:b w:val="0"/>
          <w:bCs w:val="0"/>
        </w:rPr>
        <w:t xml:space="preserve">son </w:t>
      </w:r>
      <w:r>
        <w:rPr>
          <w:rFonts w:hint="cs"/>
          <w:rtl/>
        </w:rPr>
        <w:t>תרומה</w:t>
      </w:r>
      <w:r>
        <w:t xml:space="preserve">, </w:t>
      </w:r>
      <w:r w:rsidRPr="00683640">
        <w:rPr>
          <w:b w:val="0"/>
          <w:bCs w:val="0"/>
          <w:sz w:val="24"/>
          <w:szCs w:val="24"/>
        </w:rPr>
        <w:t>without any outside confirmation?!</w:t>
      </w:r>
    </w:p>
    <w:p w:rsidR="006E5DC2" w:rsidRPr="00683640" w:rsidRDefault="006E5DC2" w:rsidP="003A2302">
      <w:pPr>
        <w:widowControl w:val="0"/>
        <w:rPr>
          <w:b w:val="0"/>
          <w:bCs w:val="0"/>
          <w:sz w:val="24"/>
          <w:szCs w:val="24"/>
        </w:rPr>
      </w:pPr>
    </w:p>
    <w:p w:rsidR="006E5DC2" w:rsidRPr="00683640" w:rsidRDefault="006E5DC2" w:rsidP="006E5DC2">
      <w:pPr>
        <w:rPr>
          <w:b w:val="0"/>
          <w:bCs w:val="0"/>
          <w:sz w:val="24"/>
          <w:szCs w:val="24"/>
        </w:rPr>
      </w:pPr>
      <w:r w:rsidRPr="00683640">
        <w:rPr>
          <w:rFonts w:hint="cs"/>
          <w:b w:val="0"/>
          <w:bCs w:val="0"/>
          <w:sz w:val="24"/>
          <w:szCs w:val="24"/>
          <w:rtl/>
        </w:rPr>
        <w:t>תוספות</w:t>
      </w:r>
      <w:r w:rsidRPr="00683640">
        <w:rPr>
          <w:b w:val="0"/>
          <w:bCs w:val="0"/>
          <w:sz w:val="24"/>
          <w:szCs w:val="24"/>
        </w:rPr>
        <w:t xml:space="preserve"> answers:</w:t>
      </w:r>
    </w:p>
    <w:p w:rsidR="00456AD6" w:rsidRPr="00683640" w:rsidRDefault="00263BCA" w:rsidP="00456AD6">
      <w:pPr>
        <w:bidi/>
        <w:rPr>
          <w:rFonts w:cs="David"/>
        </w:rPr>
      </w:pPr>
      <w:r w:rsidRPr="00683640">
        <w:rPr>
          <w:rFonts w:cs="David"/>
          <w:rtl/>
        </w:rPr>
        <w:t xml:space="preserve">ותירץ דרבי תנא הוא ופליג </w:t>
      </w:r>
      <w:r w:rsidR="00456AD6" w:rsidRPr="00683640">
        <w:rPr>
          <w:rFonts w:cs="David"/>
          <w:rtl/>
        </w:rPr>
        <w:t>–</w:t>
      </w:r>
    </w:p>
    <w:p w:rsidR="006E5DC2" w:rsidRPr="00683640" w:rsidRDefault="006E5DC2" w:rsidP="006E5DC2">
      <w:pPr>
        <w:rPr>
          <w:b w:val="0"/>
          <w:bCs w:val="0"/>
          <w:sz w:val="24"/>
          <w:szCs w:val="24"/>
        </w:rPr>
      </w:pPr>
      <w:r>
        <w:t xml:space="preserve">And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ריב"ם</w:t>
      </w:r>
      <w:r>
        <w:rPr>
          <w:b w:val="0"/>
          <w:bCs w:val="0"/>
        </w:rPr>
        <w:t xml:space="preserve"> </w:t>
      </w:r>
      <w:r>
        <w:t xml:space="preserve">answered; that </w:t>
      </w:r>
      <w:r>
        <w:rPr>
          <w:rFonts w:hint="cs"/>
          <w:rtl/>
        </w:rPr>
        <w:t>רבי</w:t>
      </w:r>
      <w:r>
        <w:t xml:space="preserve"> is a </w:t>
      </w:r>
      <w:r>
        <w:rPr>
          <w:rFonts w:hint="cs"/>
          <w:rtl/>
        </w:rPr>
        <w:t>תנא</w:t>
      </w:r>
      <w:r>
        <w:t xml:space="preserve"> and argues </w:t>
      </w:r>
      <w:r w:rsidRPr="00683640">
        <w:rPr>
          <w:b w:val="0"/>
          <w:bCs w:val="0"/>
          <w:sz w:val="24"/>
          <w:szCs w:val="24"/>
        </w:rPr>
        <w:t xml:space="preserve">with the </w:t>
      </w:r>
      <w:r w:rsidRPr="00683640">
        <w:rPr>
          <w:rFonts w:hint="cs"/>
          <w:b w:val="0"/>
          <w:bCs w:val="0"/>
          <w:sz w:val="24"/>
          <w:szCs w:val="24"/>
          <w:rtl/>
        </w:rPr>
        <w:t>משנה וברייתא</w:t>
      </w:r>
      <w:r w:rsidRPr="00683640">
        <w:rPr>
          <w:b w:val="0"/>
          <w:bCs w:val="0"/>
          <w:sz w:val="24"/>
          <w:szCs w:val="24"/>
        </w:rPr>
        <w:t xml:space="preserve"> in </w:t>
      </w:r>
      <w:r w:rsidRPr="00683640">
        <w:rPr>
          <w:rFonts w:hint="cs"/>
          <w:b w:val="0"/>
          <w:bCs w:val="0"/>
          <w:sz w:val="24"/>
          <w:szCs w:val="24"/>
          <w:rtl/>
        </w:rPr>
        <w:t>מס' קדושין</w:t>
      </w:r>
      <w:r w:rsidRPr="00683640">
        <w:rPr>
          <w:b w:val="0"/>
          <w:bCs w:val="0"/>
          <w:sz w:val="24"/>
          <w:szCs w:val="24"/>
        </w:rPr>
        <w:t xml:space="preserve"> and maintains that the father alone is believed.</w:t>
      </w:r>
    </w:p>
    <w:p w:rsidR="006E5DC2" w:rsidRPr="00683640" w:rsidRDefault="006E5DC2" w:rsidP="006E5DC2">
      <w:pPr>
        <w:rPr>
          <w:b w:val="0"/>
          <w:bCs w:val="0"/>
          <w:sz w:val="24"/>
          <w:szCs w:val="24"/>
        </w:rPr>
      </w:pPr>
    </w:p>
    <w:p w:rsidR="006E5DC2" w:rsidRPr="00683640" w:rsidRDefault="006E5DC2" w:rsidP="006E5DC2">
      <w:pPr>
        <w:rPr>
          <w:b w:val="0"/>
          <w:bCs w:val="0"/>
          <w:sz w:val="24"/>
          <w:szCs w:val="24"/>
        </w:rPr>
      </w:pPr>
      <w:r w:rsidRPr="00683640">
        <w:rPr>
          <w:rFonts w:hint="cs"/>
          <w:b w:val="0"/>
          <w:bCs w:val="0"/>
          <w:sz w:val="24"/>
          <w:szCs w:val="24"/>
          <w:rtl/>
        </w:rPr>
        <w:t>תוספות</w:t>
      </w:r>
      <w:r w:rsidRPr="00683640">
        <w:rPr>
          <w:b w:val="0"/>
          <w:bCs w:val="0"/>
          <w:sz w:val="24"/>
          <w:szCs w:val="24"/>
        </w:rPr>
        <w:t xml:space="preserve"> offers an alternate solution:</w:t>
      </w:r>
    </w:p>
    <w:p w:rsidR="00456AD6" w:rsidRPr="00683640" w:rsidRDefault="00263BCA" w:rsidP="00683640">
      <w:pPr>
        <w:bidi/>
        <w:rPr>
          <w:rFonts w:cs="David"/>
          <w:spacing w:val="-2"/>
        </w:rPr>
      </w:pPr>
      <w:r w:rsidRPr="00683640">
        <w:rPr>
          <w:rFonts w:cs="David"/>
          <w:spacing w:val="-2"/>
          <w:rtl/>
        </w:rPr>
        <w:t>ור</w:t>
      </w:r>
      <w:r w:rsidR="00456AD6" w:rsidRPr="00683640">
        <w:rPr>
          <w:rFonts w:cs="David" w:hint="cs"/>
          <w:spacing w:val="-2"/>
          <w:rtl/>
        </w:rPr>
        <w:t xml:space="preserve">בינו </w:t>
      </w:r>
      <w:r w:rsidRPr="00683640">
        <w:rPr>
          <w:rFonts w:cs="David"/>
          <w:spacing w:val="-2"/>
          <w:rtl/>
        </w:rPr>
        <w:t>ת</w:t>
      </w:r>
      <w:r w:rsidR="00456AD6" w:rsidRPr="00683640">
        <w:rPr>
          <w:rFonts w:cs="David" w:hint="cs"/>
          <w:spacing w:val="-2"/>
          <w:rtl/>
        </w:rPr>
        <w:t>ם</w:t>
      </w:r>
      <w:r w:rsidRPr="00683640">
        <w:rPr>
          <w:rFonts w:cs="David"/>
          <w:spacing w:val="-2"/>
          <w:rtl/>
        </w:rPr>
        <w:t xml:space="preserve"> אומר דההיא דקדושין אתיא כר</w:t>
      </w:r>
      <w:r w:rsidR="00456AD6" w:rsidRPr="00683640">
        <w:rPr>
          <w:rFonts w:cs="David" w:hint="cs"/>
          <w:spacing w:val="-2"/>
          <w:rtl/>
        </w:rPr>
        <w:t>בי</w:t>
      </w:r>
      <w:r w:rsidRPr="00683640">
        <w:rPr>
          <w:rFonts w:cs="David"/>
          <w:spacing w:val="-2"/>
          <w:rtl/>
        </w:rPr>
        <w:t xml:space="preserve"> יהודה דאמר</w:t>
      </w:r>
      <w:r w:rsidR="006E5DC2" w:rsidRPr="00683640">
        <w:rPr>
          <w:rStyle w:val="FootnoteReference"/>
          <w:rFonts w:cs="David"/>
          <w:spacing w:val="-2"/>
          <w:rtl/>
        </w:rPr>
        <w:footnoteReference w:id="5"/>
      </w:r>
      <w:r w:rsidRPr="00683640">
        <w:rPr>
          <w:rFonts w:cs="David"/>
          <w:spacing w:val="-2"/>
          <w:rtl/>
        </w:rPr>
        <w:t xml:space="preserve"> אין מעלין לכהונה ע</w:t>
      </w:r>
      <w:r w:rsidR="00456AD6" w:rsidRPr="00683640">
        <w:rPr>
          <w:rFonts w:cs="David" w:hint="cs"/>
          <w:spacing w:val="-2"/>
          <w:rtl/>
        </w:rPr>
        <w:t xml:space="preserve">ל </w:t>
      </w:r>
      <w:r w:rsidRPr="00683640">
        <w:rPr>
          <w:rFonts w:cs="David"/>
          <w:spacing w:val="-2"/>
          <w:rtl/>
        </w:rPr>
        <w:t>פ</w:t>
      </w:r>
      <w:r w:rsidR="00456AD6" w:rsidRPr="00683640">
        <w:rPr>
          <w:rFonts w:cs="David" w:hint="cs"/>
          <w:spacing w:val="-2"/>
          <w:rtl/>
        </w:rPr>
        <w:t>י</w:t>
      </w:r>
      <w:r w:rsidRPr="00683640">
        <w:rPr>
          <w:rFonts w:cs="David"/>
          <w:spacing w:val="-2"/>
          <w:rtl/>
        </w:rPr>
        <w:t xml:space="preserve"> עד אחד</w:t>
      </w:r>
      <w:r w:rsidR="00456AD6" w:rsidRPr="00683640">
        <w:rPr>
          <w:rFonts w:cs="David" w:hint="cs"/>
          <w:spacing w:val="-2"/>
          <w:rtl/>
        </w:rPr>
        <w:t xml:space="preserve"> </w:t>
      </w:r>
      <w:r w:rsidR="00683640">
        <w:rPr>
          <w:rFonts w:cs="David" w:hint="cs"/>
          <w:spacing w:val="-2"/>
          <w:rtl/>
        </w:rPr>
        <w:t>-</w:t>
      </w:r>
    </w:p>
    <w:p w:rsidR="006E5DC2" w:rsidRDefault="006E5DC2" w:rsidP="006E5DC2">
      <w:r>
        <w:t xml:space="preserve">And the </w:t>
      </w:r>
      <w:r>
        <w:rPr>
          <w:rFonts w:hint="cs"/>
          <w:rtl/>
        </w:rPr>
        <w:t>ר"ת</w:t>
      </w:r>
      <w:r>
        <w:t xml:space="preserve"> answers that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משנה וברייתא</w:t>
      </w:r>
      <w:r>
        <w:rPr>
          <w:b w:val="0"/>
          <w:bCs w:val="0"/>
        </w:rPr>
        <w:t xml:space="preserve"> </w:t>
      </w:r>
      <w:r>
        <w:t xml:space="preserve">there in </w:t>
      </w:r>
      <w:r>
        <w:rPr>
          <w:rFonts w:hint="cs"/>
          <w:b w:val="0"/>
          <w:bCs w:val="0"/>
          <w:rtl/>
        </w:rPr>
        <w:t xml:space="preserve">מסכת </w:t>
      </w:r>
      <w:r>
        <w:rPr>
          <w:rFonts w:hint="cs"/>
          <w:rtl/>
        </w:rPr>
        <w:t>קדושין</w:t>
      </w:r>
      <w:r>
        <w:t xml:space="preserve"> is according to </w:t>
      </w:r>
      <w:r>
        <w:rPr>
          <w:rFonts w:hint="cs"/>
          <w:rtl/>
        </w:rPr>
        <w:t>ר"י</w:t>
      </w:r>
      <w:r>
        <w:t xml:space="preserve">, who maintains that we do not elevate </w:t>
      </w:r>
      <w:r>
        <w:rPr>
          <w:b w:val="0"/>
          <w:bCs w:val="0"/>
        </w:rPr>
        <w:t xml:space="preserve">a person </w:t>
      </w:r>
      <w:r>
        <w:t xml:space="preserve">to </w:t>
      </w:r>
      <w:r>
        <w:rPr>
          <w:rFonts w:hint="cs"/>
          <w:rtl/>
        </w:rPr>
        <w:t>כהונה</w:t>
      </w:r>
      <w:r>
        <w:t xml:space="preserve"> </w:t>
      </w:r>
      <w:r w:rsidRPr="006E5DC2">
        <w:t>based on</w:t>
      </w:r>
      <w:r>
        <w:rPr>
          <w:b w:val="0"/>
          <w:bCs w:val="0"/>
        </w:rPr>
        <w:t xml:space="preserve"> the testimony </w:t>
      </w:r>
      <w:r>
        <w:t>of one witness</w:t>
      </w:r>
      <w:r w:rsidR="00215E8A">
        <w:rPr>
          <w:rStyle w:val="FootnoteReference"/>
        </w:rPr>
        <w:footnoteReference w:id="6"/>
      </w:r>
      <w:r>
        <w:t xml:space="preserve"> - </w:t>
      </w:r>
    </w:p>
    <w:p w:rsidR="00456AD6" w:rsidRPr="00683640" w:rsidRDefault="00263BCA" w:rsidP="00683640">
      <w:pPr>
        <w:bidi/>
        <w:rPr>
          <w:rFonts w:cs="David"/>
        </w:rPr>
      </w:pPr>
      <w:r w:rsidRPr="00683640">
        <w:rPr>
          <w:rFonts w:cs="David"/>
          <w:rtl/>
        </w:rPr>
        <w:t>וקדשי הגבול דהתם היינו לכל דבר קדושה כגון תרומה ונשיאות כפים ויוחסין</w:t>
      </w:r>
      <w:r w:rsidR="00FE783F" w:rsidRPr="00683640">
        <w:rPr>
          <w:rStyle w:val="FootnoteReference"/>
          <w:rFonts w:cs="David"/>
          <w:rtl/>
        </w:rPr>
        <w:footnoteReference w:id="7"/>
      </w:r>
      <w:r w:rsidRPr="00683640">
        <w:rPr>
          <w:rFonts w:cs="David"/>
          <w:rtl/>
        </w:rPr>
        <w:t xml:space="preserve"> </w:t>
      </w:r>
      <w:r w:rsidR="00683640">
        <w:rPr>
          <w:rFonts w:cs="David" w:hint="cs"/>
          <w:rtl/>
        </w:rPr>
        <w:t>-</w:t>
      </w:r>
    </w:p>
    <w:p w:rsidR="00FE783F" w:rsidRDefault="00FE783F" w:rsidP="00FE783F">
      <w:r>
        <w:t xml:space="preserve">And </w:t>
      </w:r>
      <w:r>
        <w:rPr>
          <w:b w:val="0"/>
          <w:bCs w:val="0"/>
        </w:rPr>
        <w:t xml:space="preserve">when </w:t>
      </w:r>
      <w:r>
        <w:rPr>
          <w:rFonts w:hint="cs"/>
          <w:b w:val="0"/>
          <w:bCs w:val="0"/>
          <w:rtl/>
        </w:rPr>
        <w:t>ר"ל</w:t>
      </w:r>
      <w:r>
        <w:rPr>
          <w:b w:val="0"/>
          <w:bCs w:val="0"/>
        </w:rPr>
        <w:t xml:space="preserve"> stated </w:t>
      </w:r>
      <w:r w:rsidRPr="00FE783F">
        <w:t>there</w:t>
      </w:r>
      <w:r>
        <w:rPr>
          <w:b w:val="0"/>
          <w:bCs w:val="0"/>
        </w:rPr>
        <w:t xml:space="preserve"> that by </w:t>
      </w:r>
      <w:r>
        <w:rPr>
          <w:rFonts w:hint="cs"/>
          <w:b w:val="0"/>
          <w:bCs w:val="0"/>
          <w:rtl/>
        </w:rPr>
        <w:t>כרוכים אחריה</w:t>
      </w:r>
      <w:r>
        <w:rPr>
          <w:b w:val="0"/>
          <w:bCs w:val="0"/>
        </w:rPr>
        <w:t xml:space="preserve"> they are considered </w:t>
      </w:r>
      <w:r>
        <w:rPr>
          <w:rFonts w:hint="cs"/>
          <w:b w:val="0"/>
          <w:bCs w:val="0"/>
          <w:rtl/>
        </w:rPr>
        <w:t>כהנים</w:t>
      </w:r>
      <w:r>
        <w:rPr>
          <w:b w:val="0"/>
          <w:bCs w:val="0"/>
        </w:rPr>
        <w:t xml:space="preserve"> for </w:t>
      </w:r>
      <w:r>
        <w:rPr>
          <w:rFonts w:hint="cs"/>
          <w:rtl/>
        </w:rPr>
        <w:t>קדשי הגבול</w:t>
      </w:r>
      <w:r>
        <w:rPr>
          <w:b w:val="0"/>
          <w:bCs w:val="0"/>
        </w:rPr>
        <w:t xml:space="preserve"> </w:t>
      </w:r>
      <w:r>
        <w:t xml:space="preserve">that means all types of </w:t>
      </w:r>
      <w:r>
        <w:rPr>
          <w:rFonts w:hint="cs"/>
          <w:rtl/>
        </w:rPr>
        <w:t>קדושת</w:t>
      </w:r>
      <w:r>
        <w:rPr>
          <w:rFonts w:hint="cs"/>
          <w:b w:val="0"/>
          <w:bCs w:val="0"/>
          <w:rtl/>
        </w:rPr>
        <w:t xml:space="preserve"> כהונה</w:t>
      </w:r>
      <w:r>
        <w:rPr>
          <w:b w:val="0"/>
          <w:bCs w:val="0"/>
        </w:rPr>
        <w:t xml:space="preserve">, </w:t>
      </w:r>
      <w:r>
        <w:t xml:space="preserve">for instance </w:t>
      </w:r>
      <w:r>
        <w:rPr>
          <w:rFonts w:hint="cs"/>
          <w:rtl/>
        </w:rPr>
        <w:t>תרומה, נש"כ</w:t>
      </w:r>
      <w:r>
        <w:t xml:space="preserve"> and </w:t>
      </w:r>
      <w:r>
        <w:rPr>
          <w:rFonts w:hint="cs"/>
          <w:rtl/>
        </w:rPr>
        <w:t>יוחסין</w:t>
      </w:r>
      <w:r>
        <w:t xml:space="preserve"> – </w:t>
      </w:r>
    </w:p>
    <w:p w:rsidR="00FE783F" w:rsidRPr="00683640" w:rsidRDefault="00FE783F" w:rsidP="00FE783F">
      <w:pPr>
        <w:rPr>
          <w:sz w:val="24"/>
          <w:szCs w:val="24"/>
        </w:rPr>
      </w:pPr>
    </w:p>
    <w:p w:rsidR="00FE783F" w:rsidRPr="00683640" w:rsidRDefault="00FE783F" w:rsidP="00FE783F">
      <w:pPr>
        <w:rPr>
          <w:b w:val="0"/>
          <w:bCs w:val="0"/>
          <w:sz w:val="24"/>
          <w:szCs w:val="24"/>
        </w:rPr>
      </w:pPr>
      <w:r w:rsidRPr="00683640">
        <w:rPr>
          <w:rFonts w:hint="cs"/>
          <w:b w:val="0"/>
          <w:bCs w:val="0"/>
          <w:sz w:val="24"/>
          <w:szCs w:val="24"/>
          <w:rtl/>
        </w:rPr>
        <w:t>תוספות</w:t>
      </w:r>
      <w:r w:rsidRPr="00683640">
        <w:rPr>
          <w:b w:val="0"/>
          <w:bCs w:val="0"/>
          <w:sz w:val="24"/>
          <w:szCs w:val="24"/>
        </w:rPr>
        <w:t xml:space="preserve"> anticipates a difficulty:</w:t>
      </w:r>
    </w:p>
    <w:p w:rsidR="00FE783F" w:rsidRPr="00683640" w:rsidRDefault="00263BCA" w:rsidP="00683640">
      <w:pPr>
        <w:bidi/>
        <w:rPr>
          <w:rFonts w:cs="David"/>
          <w:rtl/>
        </w:rPr>
      </w:pPr>
      <w:r w:rsidRPr="00683640">
        <w:rPr>
          <w:rFonts w:cs="David"/>
          <w:rtl/>
        </w:rPr>
        <w:t>והא דקאמר התם אבל ליוחסין לא</w:t>
      </w:r>
      <w:r w:rsidR="005661A1">
        <w:rPr>
          <w:rStyle w:val="FootnoteReference"/>
          <w:rFonts w:cs="David"/>
          <w:rtl/>
        </w:rPr>
        <w:footnoteReference w:id="8"/>
      </w:r>
      <w:r w:rsidRPr="00683640">
        <w:rPr>
          <w:rFonts w:cs="David"/>
          <w:rtl/>
        </w:rPr>
        <w:t xml:space="preserve"> </w:t>
      </w:r>
      <w:r w:rsidR="00683640">
        <w:rPr>
          <w:rFonts w:cs="David" w:hint="cs"/>
          <w:rtl/>
        </w:rPr>
        <w:t>-</w:t>
      </w:r>
    </w:p>
    <w:p w:rsidR="00FE783F" w:rsidRPr="00683640" w:rsidRDefault="00FE783F" w:rsidP="00FE783F">
      <w:pPr>
        <w:rPr>
          <w:b w:val="0"/>
          <w:bCs w:val="0"/>
          <w:sz w:val="24"/>
          <w:szCs w:val="24"/>
        </w:rPr>
      </w:pPr>
      <w:r>
        <w:t xml:space="preserve">And </w:t>
      </w:r>
      <w:r>
        <w:rPr>
          <w:b w:val="0"/>
          <w:bCs w:val="0"/>
        </w:rPr>
        <w:t xml:space="preserve">regarding that </w:t>
      </w:r>
      <w:r>
        <w:t xml:space="preserve">which </w:t>
      </w:r>
      <w:r>
        <w:rPr>
          <w:rFonts w:hint="cs"/>
          <w:b w:val="0"/>
          <w:bCs w:val="0"/>
          <w:rtl/>
        </w:rPr>
        <w:t>ר"ל</w:t>
      </w:r>
      <w:r>
        <w:rPr>
          <w:b w:val="0"/>
          <w:bCs w:val="0"/>
        </w:rPr>
        <w:t xml:space="preserve"> </w:t>
      </w:r>
      <w:r>
        <w:t xml:space="preserve">stated there, ‘however not regarding </w:t>
      </w:r>
      <w:r>
        <w:rPr>
          <w:rFonts w:hint="cs"/>
          <w:rtl/>
        </w:rPr>
        <w:t>יוחסין</w:t>
      </w:r>
      <w:r>
        <w:t xml:space="preserve">’, </w:t>
      </w:r>
      <w:r w:rsidRPr="00683640">
        <w:rPr>
          <w:b w:val="0"/>
          <w:bCs w:val="0"/>
          <w:sz w:val="24"/>
          <w:szCs w:val="24"/>
        </w:rPr>
        <w:t xml:space="preserve">that the </w:t>
      </w:r>
      <w:r w:rsidRPr="00683640">
        <w:rPr>
          <w:rFonts w:hint="cs"/>
          <w:b w:val="0"/>
          <w:bCs w:val="0"/>
          <w:sz w:val="24"/>
          <w:szCs w:val="24"/>
          <w:rtl/>
        </w:rPr>
        <w:t>כרוכים אחריה</w:t>
      </w:r>
      <w:r w:rsidRPr="00683640">
        <w:rPr>
          <w:b w:val="0"/>
          <w:bCs w:val="0"/>
          <w:sz w:val="24"/>
          <w:szCs w:val="24"/>
        </w:rPr>
        <w:t xml:space="preserve"> will not be sufficient for </w:t>
      </w:r>
      <w:r w:rsidRPr="00683640">
        <w:rPr>
          <w:rFonts w:hint="cs"/>
          <w:b w:val="0"/>
          <w:bCs w:val="0"/>
          <w:sz w:val="24"/>
          <w:szCs w:val="24"/>
          <w:rtl/>
        </w:rPr>
        <w:t>יוחסין</w:t>
      </w:r>
      <w:r w:rsidRPr="00683640">
        <w:rPr>
          <w:b w:val="0"/>
          <w:bCs w:val="0"/>
          <w:sz w:val="24"/>
          <w:szCs w:val="24"/>
        </w:rPr>
        <w:t>; this seemingly contradicts what we are saying</w:t>
      </w:r>
      <w:r w:rsidR="00683640">
        <w:rPr>
          <w:b w:val="0"/>
          <w:bCs w:val="0"/>
          <w:sz w:val="24"/>
          <w:szCs w:val="24"/>
        </w:rPr>
        <w:t xml:space="preserve"> now</w:t>
      </w:r>
      <w:r w:rsidRPr="00683640">
        <w:rPr>
          <w:b w:val="0"/>
          <w:bCs w:val="0"/>
          <w:sz w:val="24"/>
          <w:szCs w:val="24"/>
        </w:rPr>
        <w:t xml:space="preserve"> that </w:t>
      </w:r>
      <w:r w:rsidRPr="00683640">
        <w:rPr>
          <w:rFonts w:hint="cs"/>
          <w:b w:val="0"/>
          <w:bCs w:val="0"/>
          <w:sz w:val="24"/>
          <w:szCs w:val="24"/>
          <w:rtl/>
        </w:rPr>
        <w:t>קדשי הגבול</w:t>
      </w:r>
      <w:r w:rsidRPr="00683640">
        <w:rPr>
          <w:b w:val="0"/>
          <w:bCs w:val="0"/>
          <w:sz w:val="24"/>
          <w:szCs w:val="24"/>
        </w:rPr>
        <w:t xml:space="preserve"> includes </w:t>
      </w:r>
      <w:r w:rsidRPr="00683640">
        <w:rPr>
          <w:rFonts w:hint="cs"/>
          <w:b w:val="0"/>
          <w:bCs w:val="0"/>
          <w:sz w:val="24"/>
          <w:szCs w:val="24"/>
          <w:rtl/>
        </w:rPr>
        <w:t>יוחסין</w:t>
      </w:r>
      <w:r w:rsidRPr="00683640">
        <w:rPr>
          <w:b w:val="0"/>
          <w:bCs w:val="0"/>
          <w:sz w:val="24"/>
          <w:szCs w:val="24"/>
        </w:rPr>
        <w:t xml:space="preserve"> (since </w:t>
      </w:r>
      <w:r w:rsidRPr="00683640">
        <w:rPr>
          <w:rFonts w:hint="cs"/>
          <w:b w:val="0"/>
          <w:bCs w:val="0"/>
          <w:sz w:val="24"/>
          <w:szCs w:val="24"/>
          <w:rtl/>
        </w:rPr>
        <w:t>ר"י</w:t>
      </w:r>
      <w:r w:rsidRPr="00683640">
        <w:rPr>
          <w:b w:val="0"/>
          <w:bCs w:val="0"/>
          <w:sz w:val="24"/>
          <w:szCs w:val="24"/>
        </w:rPr>
        <w:t xml:space="preserve"> maintains </w:t>
      </w:r>
      <w:r w:rsidRPr="00683640">
        <w:rPr>
          <w:rFonts w:hint="cs"/>
          <w:b w:val="0"/>
          <w:bCs w:val="0"/>
          <w:sz w:val="24"/>
          <w:szCs w:val="24"/>
          <w:rtl/>
        </w:rPr>
        <w:t>מעלין מתרומה ליוחסין</w:t>
      </w:r>
      <w:r w:rsidRPr="00683640">
        <w:rPr>
          <w:b w:val="0"/>
          <w:bCs w:val="0"/>
          <w:sz w:val="24"/>
          <w:szCs w:val="24"/>
        </w:rPr>
        <w:t>) –</w:t>
      </w:r>
    </w:p>
    <w:p w:rsidR="00FE783F" w:rsidRPr="00683640" w:rsidRDefault="00FE783F" w:rsidP="00FE783F">
      <w:pPr>
        <w:rPr>
          <w:b w:val="0"/>
          <w:bCs w:val="0"/>
          <w:sz w:val="24"/>
          <w:szCs w:val="24"/>
        </w:rPr>
      </w:pPr>
    </w:p>
    <w:p w:rsidR="00FE783F" w:rsidRPr="00683640" w:rsidRDefault="00FE783F" w:rsidP="00FE783F">
      <w:pPr>
        <w:rPr>
          <w:b w:val="0"/>
          <w:bCs w:val="0"/>
          <w:sz w:val="24"/>
          <w:szCs w:val="24"/>
        </w:rPr>
      </w:pPr>
      <w:r w:rsidRPr="00683640">
        <w:rPr>
          <w:rFonts w:hint="cs"/>
          <w:b w:val="0"/>
          <w:bCs w:val="0"/>
          <w:sz w:val="24"/>
          <w:szCs w:val="24"/>
          <w:rtl/>
        </w:rPr>
        <w:t>תוספות</w:t>
      </w:r>
      <w:r w:rsidRPr="00683640">
        <w:rPr>
          <w:b w:val="0"/>
          <w:bCs w:val="0"/>
          <w:sz w:val="24"/>
          <w:szCs w:val="24"/>
        </w:rPr>
        <w:t xml:space="preserve"> responds, the term </w:t>
      </w:r>
      <w:r w:rsidRPr="00683640">
        <w:rPr>
          <w:rFonts w:hint="cs"/>
          <w:b w:val="0"/>
          <w:bCs w:val="0"/>
          <w:sz w:val="24"/>
          <w:szCs w:val="24"/>
          <w:rtl/>
        </w:rPr>
        <w:t>יוחסין</w:t>
      </w:r>
      <w:r w:rsidRPr="00683640">
        <w:rPr>
          <w:b w:val="0"/>
          <w:bCs w:val="0"/>
          <w:sz w:val="24"/>
          <w:szCs w:val="24"/>
        </w:rPr>
        <w:t xml:space="preserve"> there -</w:t>
      </w:r>
    </w:p>
    <w:p w:rsidR="00456AD6" w:rsidRPr="00683640" w:rsidRDefault="00263BCA" w:rsidP="00683640">
      <w:pPr>
        <w:bidi/>
        <w:rPr>
          <w:rFonts w:cs="David"/>
          <w:rtl/>
        </w:rPr>
      </w:pPr>
      <w:r w:rsidRPr="00683640">
        <w:rPr>
          <w:rFonts w:cs="David"/>
          <w:rtl/>
        </w:rPr>
        <w:t>היינו יוחסין לקורבה כגון לסקול ולשרוף על ידו</w:t>
      </w:r>
      <w:r w:rsidR="008E7ABB" w:rsidRPr="00683640">
        <w:rPr>
          <w:rStyle w:val="FootnoteReference"/>
          <w:rFonts w:cs="David"/>
          <w:rtl/>
        </w:rPr>
        <w:footnoteReference w:id="9"/>
      </w:r>
      <w:r w:rsidRPr="00683640">
        <w:rPr>
          <w:rFonts w:cs="David"/>
          <w:rtl/>
        </w:rPr>
        <w:t xml:space="preserve"> </w:t>
      </w:r>
      <w:r w:rsidR="00683640">
        <w:rPr>
          <w:rFonts w:cs="David" w:hint="cs"/>
          <w:rtl/>
        </w:rPr>
        <w:t>-</w:t>
      </w:r>
    </w:p>
    <w:p w:rsidR="00FE783F" w:rsidRDefault="00FE783F" w:rsidP="008E7ABB">
      <w:r>
        <w:t xml:space="preserve">Means </w:t>
      </w:r>
      <w:r>
        <w:rPr>
          <w:rFonts w:hint="cs"/>
          <w:rtl/>
        </w:rPr>
        <w:t>יוחסין</w:t>
      </w:r>
      <w:r w:rsidR="008E7ABB">
        <w:t xml:space="preserve"> in regards to relatives, for instance to punish with </w:t>
      </w:r>
      <w:r w:rsidR="008E7ABB">
        <w:rPr>
          <w:rFonts w:hint="cs"/>
          <w:rtl/>
        </w:rPr>
        <w:t>סקילה</w:t>
      </w:r>
      <w:r w:rsidR="008E7ABB">
        <w:t xml:space="preserve"> or </w:t>
      </w:r>
      <w:r w:rsidR="008E7ABB">
        <w:rPr>
          <w:rFonts w:hint="cs"/>
          <w:rtl/>
        </w:rPr>
        <w:t>שריפה</w:t>
      </w:r>
      <w:r w:rsidR="008E7ABB">
        <w:t xml:space="preserve"> on account of this </w:t>
      </w:r>
      <w:r w:rsidR="008E7ABB">
        <w:rPr>
          <w:b w:val="0"/>
          <w:bCs w:val="0"/>
        </w:rPr>
        <w:t>child –</w:t>
      </w:r>
      <w:r w:rsidR="008E7ABB">
        <w:t xml:space="preserve"> </w:t>
      </w:r>
    </w:p>
    <w:p w:rsidR="008E7ABB" w:rsidRPr="00683640" w:rsidRDefault="008E7ABB" w:rsidP="008E7ABB">
      <w:pPr>
        <w:rPr>
          <w:b w:val="0"/>
          <w:bCs w:val="0"/>
          <w:sz w:val="24"/>
          <w:szCs w:val="24"/>
        </w:rPr>
      </w:pPr>
      <w:r w:rsidRPr="00683640">
        <w:rPr>
          <w:rFonts w:hint="cs"/>
          <w:b w:val="0"/>
          <w:bCs w:val="0"/>
          <w:sz w:val="24"/>
          <w:szCs w:val="24"/>
          <w:rtl/>
        </w:rPr>
        <w:lastRenderedPageBreak/>
        <w:t>תוספות</w:t>
      </w:r>
      <w:r w:rsidRPr="00683640">
        <w:rPr>
          <w:b w:val="0"/>
          <w:bCs w:val="0"/>
          <w:sz w:val="24"/>
          <w:szCs w:val="24"/>
        </w:rPr>
        <w:t xml:space="preserve"> proves his point:</w:t>
      </w:r>
    </w:p>
    <w:p w:rsidR="00456AD6" w:rsidRPr="00683640" w:rsidRDefault="00263BCA" w:rsidP="00683640">
      <w:pPr>
        <w:bidi/>
        <w:rPr>
          <w:rFonts w:cs="David"/>
          <w:spacing w:val="-2"/>
        </w:rPr>
      </w:pPr>
      <w:r w:rsidRPr="00683640">
        <w:rPr>
          <w:rFonts w:cs="David"/>
          <w:spacing w:val="-2"/>
          <w:rtl/>
        </w:rPr>
        <w:t>כדמסיק התם ר</w:t>
      </w:r>
      <w:r w:rsidR="00456AD6" w:rsidRPr="00683640">
        <w:rPr>
          <w:rFonts w:cs="David" w:hint="cs"/>
          <w:spacing w:val="-2"/>
          <w:rtl/>
        </w:rPr>
        <w:t>בי</w:t>
      </w:r>
      <w:r w:rsidR="00456AD6" w:rsidRPr="00683640">
        <w:rPr>
          <w:rFonts w:cs="David"/>
          <w:spacing w:val="-2"/>
          <w:rtl/>
        </w:rPr>
        <w:t xml:space="preserve"> יוחנן אמר אף ליוחסין ואזדא ר</w:t>
      </w:r>
      <w:r w:rsidR="00456AD6" w:rsidRPr="00683640">
        <w:rPr>
          <w:rFonts w:cs="David" w:hint="cs"/>
          <w:spacing w:val="-2"/>
          <w:rtl/>
        </w:rPr>
        <w:t>בי</w:t>
      </w:r>
      <w:r w:rsidRPr="00683640">
        <w:rPr>
          <w:rFonts w:cs="David"/>
          <w:spacing w:val="-2"/>
          <w:rtl/>
        </w:rPr>
        <w:t xml:space="preserve"> יוחנן לטעמיה דאמר סוקלין על החזקות</w:t>
      </w:r>
      <w:r w:rsidR="00683640">
        <w:rPr>
          <w:rFonts w:cs="David" w:hint="cs"/>
          <w:spacing w:val="-2"/>
          <w:rtl/>
        </w:rPr>
        <w:t xml:space="preserve"> -</w:t>
      </w:r>
    </w:p>
    <w:p w:rsidR="00B8133D" w:rsidRDefault="008E7ABB" w:rsidP="00683640">
      <w:r>
        <w:t xml:space="preserve">As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concludes there </w:t>
      </w:r>
      <w:r>
        <w:rPr>
          <w:b w:val="0"/>
          <w:bCs w:val="0"/>
        </w:rPr>
        <w:t xml:space="preserve">(in </w:t>
      </w:r>
      <w:r>
        <w:rPr>
          <w:rFonts w:hint="cs"/>
          <w:b w:val="0"/>
          <w:bCs w:val="0"/>
          <w:rtl/>
        </w:rPr>
        <w:t>מס' קדושין</w:t>
      </w:r>
      <w:r>
        <w:rPr>
          <w:b w:val="0"/>
          <w:bCs w:val="0"/>
        </w:rPr>
        <w:t>) ‘</w:t>
      </w:r>
      <w:r>
        <w:rPr>
          <w:rFonts w:hint="cs"/>
          <w:rtl/>
        </w:rPr>
        <w:t>ר"י</w:t>
      </w:r>
      <w:r>
        <w:t xml:space="preserve"> maintains </w:t>
      </w:r>
      <w:r>
        <w:rPr>
          <w:b w:val="0"/>
          <w:bCs w:val="0"/>
        </w:rPr>
        <w:t xml:space="preserve">the proof extends </w:t>
      </w:r>
      <w:r>
        <w:t xml:space="preserve">even regarding </w:t>
      </w:r>
      <w:r>
        <w:rPr>
          <w:rFonts w:hint="cs"/>
          <w:rtl/>
        </w:rPr>
        <w:t>יוחסין</w:t>
      </w:r>
      <w:r>
        <w:t xml:space="preserve">, for </w:t>
      </w:r>
      <w:r>
        <w:rPr>
          <w:rFonts w:hint="cs"/>
          <w:rtl/>
        </w:rPr>
        <w:t>ר"י</w:t>
      </w:r>
      <w:r>
        <w:t xml:space="preserve"> follows his reasoning, where he maintains that we stone </w:t>
      </w:r>
      <w:r>
        <w:rPr>
          <w:b w:val="0"/>
          <w:bCs w:val="0"/>
        </w:rPr>
        <w:t xml:space="preserve">(even if it is) </w:t>
      </w:r>
      <w:r>
        <w:t xml:space="preserve">based on </w:t>
      </w:r>
      <w:r>
        <w:rPr>
          <w:rFonts w:hint="cs"/>
          <w:rtl/>
        </w:rPr>
        <w:t>חזקות</w:t>
      </w:r>
      <w:r>
        <w:t xml:space="preserve"> </w:t>
      </w:r>
      <w:r w:rsidRPr="00683640">
        <w:rPr>
          <w:b w:val="0"/>
          <w:bCs w:val="0"/>
          <w:sz w:val="24"/>
          <w:szCs w:val="24"/>
        </w:rPr>
        <w:t>(only)</w:t>
      </w:r>
      <w:r w:rsidR="00683640" w:rsidRPr="00683640">
        <w:rPr>
          <w:b w:val="0"/>
          <w:bCs w:val="0"/>
          <w:sz w:val="24"/>
          <w:szCs w:val="24"/>
        </w:rPr>
        <w:t>’</w:t>
      </w:r>
      <w:r w:rsidRPr="00683640">
        <w:rPr>
          <w:b w:val="0"/>
          <w:bCs w:val="0"/>
          <w:sz w:val="24"/>
          <w:szCs w:val="24"/>
        </w:rPr>
        <w:t>.</w:t>
      </w:r>
      <w:r w:rsidR="00683640" w:rsidRPr="00683640">
        <w:rPr>
          <w:rStyle w:val="FootnoteReference"/>
          <w:rFonts w:asciiTheme="majorBidi" w:hAnsiTheme="majorBidi" w:cstheme="majorBidi"/>
          <w:spacing w:val="-2"/>
          <w:sz w:val="24"/>
          <w:szCs w:val="24"/>
          <w:rtl/>
        </w:rPr>
        <w:t xml:space="preserve"> </w:t>
      </w:r>
      <w:r w:rsidR="00683640" w:rsidRPr="00683640">
        <w:rPr>
          <w:rStyle w:val="FootnoteReference"/>
          <w:rFonts w:asciiTheme="majorBidi" w:hAnsiTheme="majorBidi" w:cstheme="majorBidi"/>
          <w:b w:val="0"/>
          <w:bCs w:val="0"/>
          <w:spacing w:val="-2"/>
          <w:sz w:val="24"/>
          <w:szCs w:val="24"/>
          <w:rtl/>
        </w:rPr>
        <w:footnoteReference w:id="10"/>
      </w:r>
      <w:r>
        <w:t xml:space="preserve">  </w:t>
      </w:r>
    </w:p>
    <w:p w:rsidR="00B8133D" w:rsidRPr="00683640" w:rsidRDefault="00B8133D" w:rsidP="008E7ABB">
      <w:pPr>
        <w:rPr>
          <w:sz w:val="24"/>
          <w:szCs w:val="24"/>
        </w:rPr>
      </w:pPr>
    </w:p>
    <w:p w:rsidR="008E7ABB" w:rsidRPr="00683640" w:rsidRDefault="00B8133D" w:rsidP="008E7ABB">
      <w:pPr>
        <w:rPr>
          <w:sz w:val="24"/>
          <w:szCs w:val="24"/>
        </w:rPr>
      </w:pPr>
      <w:r w:rsidRPr="00683640">
        <w:rPr>
          <w:rFonts w:hint="cs"/>
          <w:b w:val="0"/>
          <w:bCs w:val="0"/>
          <w:sz w:val="24"/>
          <w:szCs w:val="24"/>
          <w:rtl/>
        </w:rPr>
        <w:t>תוספות</w:t>
      </w:r>
      <w:r w:rsidRPr="00683640">
        <w:rPr>
          <w:b w:val="0"/>
          <w:bCs w:val="0"/>
          <w:sz w:val="24"/>
          <w:szCs w:val="24"/>
        </w:rPr>
        <w:t xml:space="preserve"> offers an additional solution:</w:t>
      </w:r>
      <w:r w:rsidR="008E7ABB" w:rsidRPr="00683640">
        <w:rPr>
          <w:sz w:val="24"/>
          <w:szCs w:val="24"/>
        </w:rPr>
        <w:t xml:space="preserve"> </w:t>
      </w:r>
    </w:p>
    <w:p w:rsidR="00263BCA" w:rsidRPr="00683640" w:rsidRDefault="00263BCA" w:rsidP="00456AD6">
      <w:pPr>
        <w:bidi/>
        <w:rPr>
          <w:rFonts w:cs="David"/>
        </w:rPr>
      </w:pPr>
      <w:r w:rsidRPr="00683640">
        <w:rPr>
          <w:rFonts w:cs="David"/>
          <w:rtl/>
        </w:rPr>
        <w:t>[א</w:t>
      </w:r>
      <w:r w:rsidR="00456AD6" w:rsidRPr="00683640">
        <w:rPr>
          <w:rFonts w:cs="David" w:hint="cs"/>
          <w:rtl/>
        </w:rPr>
        <w:t>י</w:t>
      </w:r>
      <w:r w:rsidR="00B8133D" w:rsidRPr="00683640">
        <w:rPr>
          <w:rStyle w:val="FootnoteReference"/>
          <w:rFonts w:cs="David"/>
          <w:rtl/>
        </w:rPr>
        <w:footnoteReference w:id="11"/>
      </w:r>
      <w:r w:rsidR="00456AD6" w:rsidRPr="00683640">
        <w:rPr>
          <w:rFonts w:cs="David" w:hint="cs"/>
          <w:rtl/>
        </w:rPr>
        <w:t xml:space="preserve"> </w:t>
      </w:r>
      <w:r w:rsidRPr="00683640">
        <w:rPr>
          <w:rFonts w:cs="David"/>
          <w:rtl/>
        </w:rPr>
        <w:t>נ</w:t>
      </w:r>
      <w:r w:rsidR="00456AD6" w:rsidRPr="00683640">
        <w:rPr>
          <w:rFonts w:cs="David" w:hint="cs"/>
          <w:rtl/>
        </w:rPr>
        <w:t>מי</w:t>
      </w:r>
      <w:r w:rsidRPr="00683640">
        <w:rPr>
          <w:rFonts w:cs="David"/>
          <w:rtl/>
        </w:rPr>
        <w:t xml:space="preserve"> הכא באשתו עמו דאין צריך להביא ראיה כדאמר התם</w:t>
      </w:r>
      <w:r w:rsidR="00456AD6" w:rsidRPr="00683640">
        <w:rPr>
          <w:rFonts w:cs="David" w:hint="cs"/>
          <w:rtl/>
        </w:rPr>
        <w:t>]:</w:t>
      </w:r>
    </w:p>
    <w:p w:rsidR="00B8133D" w:rsidRPr="00B8133D" w:rsidRDefault="00B8133D" w:rsidP="00200B36">
      <w:r>
        <w:t>[</w:t>
      </w:r>
      <w:r w:rsidR="00200B36">
        <w:t>O</w:t>
      </w:r>
      <w:r>
        <w:t xml:space="preserve">r </w:t>
      </w:r>
      <w:r>
        <w:rPr>
          <w:b w:val="0"/>
          <w:bCs w:val="0"/>
        </w:rPr>
        <w:t xml:space="preserve">you may </w:t>
      </w:r>
      <w:r>
        <w:t xml:space="preserve">also </w:t>
      </w:r>
      <w:r>
        <w:rPr>
          <w:b w:val="0"/>
          <w:bCs w:val="0"/>
        </w:rPr>
        <w:t xml:space="preserve">say, that </w:t>
      </w:r>
      <w:r>
        <w:t xml:space="preserve">here </w:t>
      </w:r>
      <w:r>
        <w:rPr>
          <w:b w:val="0"/>
          <w:bCs w:val="0"/>
        </w:rPr>
        <w:t xml:space="preserve">where </w:t>
      </w:r>
      <w:r>
        <w:rPr>
          <w:rFonts w:hint="cs"/>
          <w:b w:val="0"/>
          <w:bCs w:val="0"/>
          <w:rtl/>
        </w:rPr>
        <w:t>רבי</w:t>
      </w:r>
      <w:r>
        <w:rPr>
          <w:b w:val="0"/>
          <w:bCs w:val="0"/>
        </w:rPr>
        <w:t xml:space="preserve"> rules </w:t>
      </w:r>
      <w:r>
        <w:rPr>
          <w:rFonts w:hint="cs"/>
          <w:b w:val="0"/>
          <w:bCs w:val="0"/>
          <w:rtl/>
        </w:rPr>
        <w:t>נאמן להאכילו בתרומה</w:t>
      </w:r>
      <w:r w:rsidR="00200B36">
        <w:rPr>
          <w:b w:val="0"/>
          <w:bCs w:val="0"/>
        </w:rPr>
        <w:t>,</w:t>
      </w:r>
      <w:r>
        <w:rPr>
          <w:b w:val="0"/>
          <w:bCs w:val="0"/>
        </w:rPr>
        <w:t xml:space="preserve"> it is a case </w:t>
      </w:r>
      <w:r>
        <w:t xml:space="preserve">where his wife is with him </w:t>
      </w:r>
      <w:r>
        <w:rPr>
          <w:b w:val="0"/>
          <w:bCs w:val="0"/>
        </w:rPr>
        <w:t xml:space="preserve">and the children are </w:t>
      </w:r>
      <w:r>
        <w:rPr>
          <w:rFonts w:hint="cs"/>
          <w:b w:val="0"/>
          <w:bCs w:val="0"/>
          <w:rtl/>
        </w:rPr>
        <w:t>כרוך אחריה</w:t>
      </w:r>
      <w:r>
        <w:rPr>
          <w:b w:val="0"/>
          <w:bCs w:val="0"/>
        </w:rPr>
        <w:t xml:space="preserve">, </w:t>
      </w:r>
      <w:r>
        <w:t xml:space="preserve">where there is no need to bring </w:t>
      </w:r>
      <w:r>
        <w:rPr>
          <w:b w:val="0"/>
          <w:bCs w:val="0"/>
        </w:rPr>
        <w:t xml:space="preserve">any additional </w:t>
      </w:r>
      <w:r>
        <w:t xml:space="preserve">proof, as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>states there.]</w:t>
      </w:r>
    </w:p>
    <w:p w:rsidR="003D4453" w:rsidRPr="00683640" w:rsidRDefault="003D4453" w:rsidP="00263BCA">
      <w:pPr>
        <w:bidi/>
        <w:rPr>
          <w:sz w:val="24"/>
          <w:szCs w:val="24"/>
        </w:rPr>
      </w:pPr>
    </w:p>
    <w:p w:rsidR="00456AD6" w:rsidRPr="00456AD6" w:rsidRDefault="00456AD6" w:rsidP="00456AD6">
      <w:pPr>
        <w:rPr>
          <w:rFonts w:ascii="Copperplate Gothic Bold" w:hAnsi="Copperplate Gothic Bold"/>
          <w:b w:val="0"/>
          <w:bCs w:val="0"/>
          <w:u w:val="double"/>
        </w:rPr>
      </w:pPr>
      <w:r w:rsidRPr="00456AD6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456AD6" w:rsidRDefault="00200B36" w:rsidP="00200B36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רבי</w:t>
      </w:r>
      <w:r>
        <w:rPr>
          <w:b w:val="0"/>
          <w:bCs w:val="0"/>
        </w:rPr>
        <w:t xml:space="preserve">, who maintains that the father is believed to be </w:t>
      </w:r>
      <w:r>
        <w:rPr>
          <w:rFonts w:hint="cs"/>
          <w:b w:val="0"/>
          <w:bCs w:val="0"/>
          <w:rtl/>
        </w:rPr>
        <w:t>מאכיל תרומה</w:t>
      </w:r>
      <w:r>
        <w:rPr>
          <w:b w:val="0"/>
          <w:bCs w:val="0"/>
        </w:rPr>
        <w:t xml:space="preserve"> to his son, may be arguing with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in </w:t>
      </w:r>
      <w:r>
        <w:rPr>
          <w:rFonts w:hint="cs"/>
          <w:b w:val="0"/>
          <w:bCs w:val="0"/>
          <w:rtl/>
        </w:rPr>
        <w:t>קדושין</w:t>
      </w:r>
      <w:r>
        <w:rPr>
          <w:b w:val="0"/>
          <w:bCs w:val="0"/>
        </w:rPr>
        <w:t xml:space="preserve"> which requires a </w:t>
      </w:r>
      <w:r>
        <w:rPr>
          <w:rFonts w:hint="cs"/>
          <w:b w:val="0"/>
          <w:bCs w:val="0"/>
          <w:rtl/>
        </w:rPr>
        <w:t>ראיה</w:t>
      </w:r>
      <w:r>
        <w:rPr>
          <w:b w:val="0"/>
          <w:bCs w:val="0"/>
        </w:rPr>
        <w:t xml:space="preserve">, or that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follows the view of </w:t>
      </w:r>
      <w:r>
        <w:rPr>
          <w:rFonts w:hint="cs"/>
          <w:b w:val="0"/>
          <w:bCs w:val="0"/>
          <w:rtl/>
        </w:rPr>
        <w:t>ר"י</w:t>
      </w:r>
      <w:r>
        <w:rPr>
          <w:b w:val="0"/>
          <w:bCs w:val="0"/>
        </w:rPr>
        <w:t xml:space="preserve"> (that </w:t>
      </w:r>
      <w:r>
        <w:rPr>
          <w:rFonts w:hint="cs"/>
          <w:b w:val="0"/>
          <w:bCs w:val="0"/>
          <w:rtl/>
        </w:rPr>
        <w:t>אין מעלין לכהונה ע"פ ע"א</w:t>
      </w:r>
      <w:r>
        <w:rPr>
          <w:b w:val="0"/>
          <w:bCs w:val="0"/>
        </w:rPr>
        <w:t>), [or that s</w:t>
      </w:r>
      <w:r>
        <w:rPr>
          <w:rFonts w:hint="cs"/>
          <w:b w:val="0"/>
          <w:bCs w:val="0"/>
          <w:rtl/>
        </w:rPr>
        <w:t>רבי'</w:t>
      </w:r>
      <w:r>
        <w:rPr>
          <w:b w:val="0"/>
          <w:bCs w:val="0"/>
        </w:rPr>
        <w:t xml:space="preserve"> case is when the wife is here]. </w:t>
      </w:r>
    </w:p>
    <w:p w:rsidR="00456AD6" w:rsidRPr="00683640" w:rsidRDefault="00456AD6" w:rsidP="00456AD6">
      <w:pPr>
        <w:rPr>
          <w:b w:val="0"/>
          <w:bCs w:val="0"/>
          <w:sz w:val="24"/>
          <w:szCs w:val="24"/>
        </w:rPr>
      </w:pPr>
    </w:p>
    <w:p w:rsidR="00456AD6" w:rsidRPr="00456AD6" w:rsidRDefault="00456AD6" w:rsidP="00456AD6">
      <w:pPr>
        <w:rPr>
          <w:rFonts w:ascii="Copperplate Gothic Bold" w:hAnsi="Copperplate Gothic Bold"/>
          <w:b w:val="0"/>
          <w:bCs w:val="0"/>
          <w:u w:val="double"/>
        </w:rPr>
      </w:pPr>
      <w:r w:rsidRPr="00456AD6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456AD6" w:rsidRDefault="00683640" w:rsidP="00160A9E">
      <w:pPr>
        <w:rPr>
          <w:b w:val="0"/>
          <w:bCs w:val="0"/>
        </w:rPr>
      </w:pPr>
      <w:r>
        <w:rPr>
          <w:b w:val="0"/>
          <w:bCs w:val="0"/>
        </w:rPr>
        <w:t xml:space="preserve">1. </w:t>
      </w:r>
      <w:r w:rsidR="00200B36">
        <w:rPr>
          <w:b w:val="0"/>
          <w:bCs w:val="0"/>
        </w:rPr>
        <w:t xml:space="preserve">The </w:t>
      </w:r>
      <w:r w:rsidR="00200B36">
        <w:rPr>
          <w:rFonts w:hint="cs"/>
          <w:b w:val="0"/>
          <w:bCs w:val="0"/>
          <w:rtl/>
        </w:rPr>
        <w:t>ריב"ם</w:t>
      </w:r>
      <w:r w:rsidR="00200B36">
        <w:rPr>
          <w:b w:val="0"/>
          <w:bCs w:val="0"/>
        </w:rPr>
        <w:t xml:space="preserve"> asks, how is it that </w:t>
      </w:r>
      <w:r w:rsidR="00200B36">
        <w:rPr>
          <w:rFonts w:hint="cs"/>
          <w:b w:val="0"/>
          <w:bCs w:val="0"/>
          <w:rtl/>
        </w:rPr>
        <w:t>רבי</w:t>
      </w:r>
      <w:r w:rsidR="00200B36">
        <w:rPr>
          <w:b w:val="0"/>
          <w:bCs w:val="0"/>
        </w:rPr>
        <w:t xml:space="preserve"> maintains </w:t>
      </w:r>
      <w:r w:rsidR="00200B36">
        <w:rPr>
          <w:rFonts w:hint="cs"/>
          <w:b w:val="0"/>
          <w:bCs w:val="0"/>
          <w:rtl/>
        </w:rPr>
        <w:t>נאמן להאכילו תרומה</w:t>
      </w:r>
      <w:r w:rsidR="00160A9E">
        <w:rPr>
          <w:b w:val="0"/>
          <w:bCs w:val="0"/>
        </w:rPr>
        <w:t>,</w:t>
      </w:r>
      <w:r w:rsidR="00200B36">
        <w:rPr>
          <w:b w:val="0"/>
          <w:bCs w:val="0"/>
        </w:rPr>
        <w:t xml:space="preserve"> </w:t>
      </w:r>
      <w:r w:rsidR="00160A9E">
        <w:rPr>
          <w:b w:val="0"/>
          <w:bCs w:val="0"/>
        </w:rPr>
        <w:t>when</w:t>
      </w:r>
      <w:r w:rsidR="00200B36">
        <w:rPr>
          <w:b w:val="0"/>
          <w:bCs w:val="0"/>
        </w:rPr>
        <w:t xml:space="preserve"> from the </w:t>
      </w:r>
      <w:r w:rsidR="00200B36">
        <w:rPr>
          <w:rFonts w:hint="cs"/>
          <w:b w:val="0"/>
          <w:bCs w:val="0"/>
          <w:rtl/>
        </w:rPr>
        <w:t>גמ'</w:t>
      </w:r>
      <w:r w:rsidR="00200B36">
        <w:rPr>
          <w:b w:val="0"/>
          <w:bCs w:val="0"/>
        </w:rPr>
        <w:t xml:space="preserve"> in </w:t>
      </w:r>
      <w:r w:rsidR="00200B36">
        <w:rPr>
          <w:rFonts w:hint="cs"/>
          <w:b w:val="0"/>
          <w:bCs w:val="0"/>
          <w:rtl/>
        </w:rPr>
        <w:t>קדושין</w:t>
      </w:r>
      <w:r w:rsidR="00200B36">
        <w:rPr>
          <w:b w:val="0"/>
          <w:bCs w:val="0"/>
        </w:rPr>
        <w:t xml:space="preserve"> it appears that the father alone is insufficient </w:t>
      </w:r>
      <w:r w:rsidR="00200B36">
        <w:rPr>
          <w:rFonts w:hint="cs"/>
          <w:b w:val="0"/>
          <w:bCs w:val="0"/>
          <w:rtl/>
        </w:rPr>
        <w:t>להאכילו תרומה</w:t>
      </w:r>
      <w:r w:rsidR="00200B36">
        <w:rPr>
          <w:b w:val="0"/>
          <w:bCs w:val="0"/>
        </w:rPr>
        <w:t>.</w:t>
      </w:r>
      <w:r w:rsidR="00691EC6">
        <w:rPr>
          <w:rStyle w:val="FootnoteReference"/>
          <w:b w:val="0"/>
          <w:bCs w:val="0"/>
        </w:rPr>
        <w:footnoteReference w:id="12"/>
      </w:r>
      <w:r w:rsidR="00691EC6">
        <w:rPr>
          <w:b w:val="0"/>
          <w:bCs w:val="0"/>
        </w:rPr>
        <w:t xml:space="preserve"> Why cannot we answer that </w:t>
      </w:r>
      <w:r w:rsidR="00691EC6">
        <w:rPr>
          <w:rFonts w:hint="cs"/>
          <w:b w:val="0"/>
          <w:bCs w:val="0"/>
          <w:rtl/>
        </w:rPr>
        <w:t>רבי</w:t>
      </w:r>
      <w:r w:rsidR="00691EC6">
        <w:rPr>
          <w:b w:val="0"/>
          <w:bCs w:val="0"/>
        </w:rPr>
        <w:t xml:space="preserve"> is discussing </w:t>
      </w:r>
      <w:r w:rsidR="00691EC6">
        <w:rPr>
          <w:rFonts w:hint="cs"/>
          <w:b w:val="0"/>
          <w:bCs w:val="0"/>
          <w:rtl/>
        </w:rPr>
        <w:t>תרומה דרבנן</w:t>
      </w:r>
      <w:r w:rsidR="00691EC6">
        <w:rPr>
          <w:b w:val="0"/>
          <w:bCs w:val="0"/>
        </w:rPr>
        <w:t xml:space="preserve"> and the </w:t>
      </w:r>
      <w:r w:rsidR="00691EC6">
        <w:rPr>
          <w:rFonts w:hint="cs"/>
          <w:b w:val="0"/>
          <w:bCs w:val="0"/>
          <w:rtl/>
        </w:rPr>
        <w:t>גמ'</w:t>
      </w:r>
      <w:r w:rsidR="00691EC6">
        <w:rPr>
          <w:b w:val="0"/>
          <w:bCs w:val="0"/>
        </w:rPr>
        <w:t xml:space="preserve"> in </w:t>
      </w:r>
      <w:r w:rsidR="00691EC6">
        <w:rPr>
          <w:rFonts w:hint="cs"/>
          <w:b w:val="0"/>
          <w:bCs w:val="0"/>
          <w:rtl/>
        </w:rPr>
        <w:t>קדושין</w:t>
      </w:r>
      <w:r w:rsidR="00691EC6">
        <w:rPr>
          <w:b w:val="0"/>
          <w:bCs w:val="0"/>
        </w:rPr>
        <w:t xml:space="preserve"> is discussing </w:t>
      </w:r>
      <w:r w:rsidR="00691EC6">
        <w:rPr>
          <w:rFonts w:hint="cs"/>
          <w:b w:val="0"/>
          <w:bCs w:val="0"/>
          <w:rtl/>
        </w:rPr>
        <w:t>תרומה דאורייתא</w:t>
      </w:r>
      <w:r w:rsidR="00691EC6">
        <w:rPr>
          <w:b w:val="0"/>
          <w:bCs w:val="0"/>
        </w:rPr>
        <w:t>?!</w:t>
      </w:r>
      <w:r w:rsidR="00691EC6">
        <w:rPr>
          <w:rStyle w:val="FootnoteReference"/>
          <w:b w:val="0"/>
          <w:bCs w:val="0"/>
        </w:rPr>
        <w:footnoteReference w:id="13"/>
      </w:r>
    </w:p>
    <w:p w:rsidR="00683640" w:rsidRDefault="00683640" w:rsidP="00456AD6">
      <w:pPr>
        <w:rPr>
          <w:b w:val="0"/>
          <w:bCs w:val="0"/>
        </w:rPr>
      </w:pPr>
    </w:p>
    <w:p w:rsidR="00683640" w:rsidRDefault="00683640" w:rsidP="00160A9E">
      <w:pPr>
        <w:rPr>
          <w:b w:val="0"/>
          <w:bCs w:val="0"/>
        </w:rPr>
      </w:pPr>
      <w:r>
        <w:rPr>
          <w:b w:val="0"/>
          <w:bCs w:val="0"/>
        </w:rPr>
        <w:t xml:space="preserve">2. </w:t>
      </w:r>
      <w:r w:rsidR="00160A9E">
        <w:rPr>
          <w:b w:val="0"/>
          <w:bCs w:val="0"/>
        </w:rPr>
        <w:t>The</w:t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א"נ</w:t>
      </w:r>
      <w:r>
        <w:rPr>
          <w:b w:val="0"/>
          <w:bCs w:val="0"/>
        </w:rPr>
        <w:t xml:space="preserve"> answers that in our case it is </w:t>
      </w:r>
      <w:r>
        <w:rPr>
          <w:rFonts w:hint="cs"/>
          <w:b w:val="0"/>
          <w:bCs w:val="0"/>
          <w:rtl/>
        </w:rPr>
        <w:t>אשתו עמו</w:t>
      </w:r>
      <w:r>
        <w:rPr>
          <w:b w:val="0"/>
          <w:bCs w:val="0"/>
        </w:rPr>
        <w:t xml:space="preserve"> (and </w:t>
      </w:r>
      <w:r>
        <w:rPr>
          <w:rFonts w:hint="cs"/>
          <w:b w:val="0"/>
          <w:bCs w:val="0"/>
          <w:rtl/>
        </w:rPr>
        <w:t>בניה כרוכים אחריה</w:t>
      </w:r>
      <w:r>
        <w:rPr>
          <w:b w:val="0"/>
          <w:bCs w:val="0"/>
        </w:rPr>
        <w:t>).</w:t>
      </w:r>
      <w:r>
        <w:rPr>
          <w:rStyle w:val="FootnoteReference"/>
          <w:b w:val="0"/>
          <w:bCs w:val="0"/>
        </w:rPr>
        <w:footnoteReference w:id="14"/>
      </w:r>
      <w:r>
        <w:rPr>
          <w:b w:val="0"/>
          <w:bCs w:val="0"/>
        </w:rPr>
        <w:t xml:space="preserve"> I</w:t>
      </w:r>
      <w:r w:rsidR="00160A9E">
        <w:rPr>
          <w:b w:val="0"/>
          <w:bCs w:val="0"/>
        </w:rPr>
        <w:t>f</w:t>
      </w:r>
      <w:r>
        <w:rPr>
          <w:b w:val="0"/>
          <w:bCs w:val="0"/>
        </w:rPr>
        <w:t xml:space="preserve"> it is the same case as in </w:t>
      </w:r>
      <w:r>
        <w:rPr>
          <w:rFonts w:hint="cs"/>
          <w:b w:val="0"/>
          <w:bCs w:val="0"/>
          <w:rtl/>
        </w:rPr>
        <w:t>קדושין</w:t>
      </w:r>
      <w:r>
        <w:rPr>
          <w:b w:val="0"/>
          <w:bCs w:val="0"/>
        </w:rPr>
        <w:t xml:space="preserve">, why is it necessary for </w:t>
      </w:r>
      <w:r>
        <w:rPr>
          <w:rFonts w:hint="cs"/>
          <w:b w:val="0"/>
          <w:bCs w:val="0"/>
          <w:rtl/>
        </w:rPr>
        <w:t>רבי</w:t>
      </w:r>
      <w:r>
        <w:rPr>
          <w:b w:val="0"/>
          <w:bCs w:val="0"/>
        </w:rPr>
        <w:t xml:space="preserve"> to say that the father is </w:t>
      </w:r>
      <w:r>
        <w:rPr>
          <w:rFonts w:hint="cs"/>
          <w:b w:val="0"/>
          <w:bCs w:val="0"/>
          <w:rtl/>
        </w:rPr>
        <w:t>נאמן</w:t>
      </w:r>
      <w:r>
        <w:rPr>
          <w:b w:val="0"/>
          <w:bCs w:val="0"/>
        </w:rPr>
        <w:t xml:space="preserve"> since it is </w:t>
      </w:r>
      <w:r>
        <w:rPr>
          <w:rFonts w:hint="cs"/>
          <w:b w:val="0"/>
          <w:bCs w:val="0"/>
          <w:rtl/>
        </w:rPr>
        <w:t>בידו</w:t>
      </w:r>
      <w:r>
        <w:rPr>
          <w:b w:val="0"/>
          <w:bCs w:val="0"/>
        </w:rPr>
        <w:t xml:space="preserve">, when he is </w:t>
      </w:r>
      <w:r>
        <w:rPr>
          <w:rFonts w:hint="cs"/>
          <w:b w:val="0"/>
          <w:bCs w:val="0"/>
          <w:rtl/>
        </w:rPr>
        <w:t>נאמן</w:t>
      </w:r>
      <w:r>
        <w:rPr>
          <w:b w:val="0"/>
          <w:bCs w:val="0"/>
        </w:rPr>
        <w:t xml:space="preserve"> because it is </w:t>
      </w:r>
      <w:r w:rsidR="00160A9E">
        <w:rPr>
          <w:rFonts w:hint="cs"/>
          <w:b w:val="0"/>
          <w:bCs w:val="0"/>
          <w:rtl/>
        </w:rPr>
        <w:t>כרוכים אחריה</w:t>
      </w:r>
      <w:r w:rsidR="00160A9E">
        <w:rPr>
          <w:b w:val="0"/>
          <w:bCs w:val="0"/>
        </w:rPr>
        <w:t xml:space="preserve"> as the </w:t>
      </w:r>
      <w:r w:rsidR="00160A9E">
        <w:rPr>
          <w:rFonts w:hint="cs"/>
          <w:b w:val="0"/>
          <w:bCs w:val="0"/>
          <w:rtl/>
        </w:rPr>
        <w:t>גמ'</w:t>
      </w:r>
      <w:r w:rsidR="00160A9E">
        <w:rPr>
          <w:b w:val="0"/>
          <w:bCs w:val="0"/>
        </w:rPr>
        <w:t xml:space="preserve"> states in </w:t>
      </w:r>
      <w:r w:rsidR="00160A9E">
        <w:rPr>
          <w:rFonts w:hint="cs"/>
          <w:b w:val="0"/>
          <w:bCs w:val="0"/>
          <w:rtl/>
        </w:rPr>
        <w:t>קדושין</w:t>
      </w:r>
      <w:r w:rsidR="00160A9E">
        <w:rPr>
          <w:b w:val="0"/>
          <w:bCs w:val="0"/>
        </w:rPr>
        <w:t>?!</w:t>
      </w:r>
      <w:r w:rsidR="00160A9E">
        <w:rPr>
          <w:rStyle w:val="FootnoteReference"/>
          <w:b w:val="0"/>
          <w:bCs w:val="0"/>
        </w:rPr>
        <w:footnoteReference w:id="15"/>
      </w:r>
    </w:p>
    <w:p w:rsidR="00160A9E" w:rsidRDefault="00160A9E" w:rsidP="00160A9E">
      <w:pPr>
        <w:rPr>
          <w:b w:val="0"/>
          <w:bCs w:val="0"/>
        </w:rPr>
      </w:pPr>
    </w:p>
    <w:p w:rsidR="00456AD6" w:rsidRPr="00456AD6" w:rsidRDefault="00160A9E" w:rsidP="00160A9E">
      <w:pPr>
        <w:rPr>
          <w:b w:val="0"/>
          <w:bCs w:val="0"/>
        </w:rPr>
      </w:pPr>
      <w:r>
        <w:rPr>
          <w:b w:val="0"/>
          <w:bCs w:val="0"/>
        </w:rPr>
        <w:t xml:space="preserve">3. According to the </w:t>
      </w:r>
      <w:r>
        <w:rPr>
          <w:rFonts w:hint="cs"/>
          <w:b w:val="0"/>
          <w:bCs w:val="0"/>
          <w:rtl/>
        </w:rPr>
        <w:t>א"נ</w:t>
      </w:r>
      <w:r>
        <w:rPr>
          <w:b w:val="0"/>
          <w:bCs w:val="0"/>
        </w:rPr>
        <w:t xml:space="preserve">, how can we understand the stance of </w:t>
      </w:r>
      <w:r>
        <w:rPr>
          <w:rFonts w:hint="cs"/>
          <w:b w:val="0"/>
          <w:bCs w:val="0"/>
          <w:rtl/>
        </w:rPr>
        <w:t>ר"ח</w:t>
      </w:r>
      <w:r>
        <w:rPr>
          <w:b w:val="0"/>
          <w:bCs w:val="0"/>
        </w:rPr>
        <w:t xml:space="preserve">, when it is a </w:t>
      </w:r>
      <w:r>
        <w:rPr>
          <w:rFonts w:hint="cs"/>
          <w:b w:val="0"/>
          <w:bCs w:val="0"/>
          <w:rtl/>
        </w:rPr>
        <w:t>משנה מפורשת</w:t>
      </w:r>
      <w:r>
        <w:rPr>
          <w:b w:val="0"/>
          <w:bCs w:val="0"/>
        </w:rPr>
        <w:t xml:space="preserve"> that </w:t>
      </w:r>
      <w:r>
        <w:rPr>
          <w:rFonts w:hint="cs"/>
          <w:b w:val="0"/>
          <w:bCs w:val="0"/>
          <w:rtl/>
        </w:rPr>
        <w:t>נאמן להאכילו תרומה</w:t>
      </w:r>
      <w:r>
        <w:rPr>
          <w:b w:val="0"/>
          <w:bCs w:val="0"/>
        </w:rPr>
        <w:t>?!</w:t>
      </w:r>
    </w:p>
    <w:sectPr w:rsidR="00456AD6" w:rsidRPr="00456AD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15C" w:rsidRDefault="009B415C" w:rsidP="00456AD6">
      <w:pPr>
        <w:spacing w:line="240" w:lineRule="auto"/>
      </w:pPr>
      <w:r>
        <w:separator/>
      </w:r>
    </w:p>
  </w:endnote>
  <w:endnote w:type="continuationSeparator" w:id="0">
    <w:p w:rsidR="009B415C" w:rsidRDefault="009B415C" w:rsidP="00456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7915995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456AD6" w:rsidRPr="00456AD6" w:rsidRDefault="00456AD6">
        <w:pPr>
          <w:pStyle w:val="Footer"/>
          <w:jc w:val="center"/>
          <w:rPr>
            <w:b w:val="0"/>
            <w:bCs w:val="0"/>
            <w:noProof/>
            <w:sz w:val="16"/>
            <w:szCs w:val="16"/>
            <w:rtl/>
          </w:rPr>
        </w:pPr>
        <w:r w:rsidRPr="00456AD6">
          <w:rPr>
            <w:b w:val="0"/>
            <w:bCs w:val="0"/>
            <w:sz w:val="20"/>
            <w:szCs w:val="20"/>
          </w:rPr>
          <w:fldChar w:fldCharType="begin"/>
        </w:r>
        <w:r w:rsidRPr="00456AD6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456AD6">
          <w:rPr>
            <w:b w:val="0"/>
            <w:bCs w:val="0"/>
            <w:sz w:val="20"/>
            <w:szCs w:val="20"/>
          </w:rPr>
          <w:fldChar w:fldCharType="separate"/>
        </w:r>
        <w:r w:rsidR="003667E2">
          <w:rPr>
            <w:b w:val="0"/>
            <w:bCs w:val="0"/>
            <w:noProof/>
            <w:sz w:val="20"/>
            <w:szCs w:val="20"/>
          </w:rPr>
          <w:t>1</w:t>
        </w:r>
        <w:r w:rsidRPr="00456AD6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456AD6" w:rsidRPr="00456AD6" w:rsidRDefault="00456AD6" w:rsidP="006E5DC2">
        <w:pPr>
          <w:pStyle w:val="Footer"/>
          <w:jc w:val="center"/>
          <w:rPr>
            <w:b w:val="0"/>
            <w:bCs w:val="0"/>
            <w:sz w:val="20"/>
            <w:szCs w:val="20"/>
          </w:rPr>
        </w:pPr>
        <w:r w:rsidRPr="00456AD6">
          <w:rPr>
            <w:b w:val="0"/>
            <w:bCs w:val="0"/>
            <w:noProof/>
            <w:sz w:val="16"/>
            <w:szCs w:val="16"/>
          </w:rPr>
          <w:t>Tos</w:t>
        </w:r>
        <w:r w:rsidR="006E5DC2">
          <w:rPr>
            <w:b w:val="0"/>
            <w:bCs w:val="0"/>
            <w:noProof/>
            <w:sz w:val="16"/>
            <w:szCs w:val="16"/>
          </w:rPr>
          <w:t>f</w:t>
        </w:r>
        <w:r w:rsidRPr="00456AD6">
          <w:rPr>
            <w:b w:val="0"/>
            <w:bCs w:val="0"/>
            <w:noProof/>
            <w:sz w:val="16"/>
            <w:szCs w:val="16"/>
          </w:rPr>
          <w:t>osInEnglish.com</w:t>
        </w:r>
      </w:p>
    </w:sdtContent>
  </w:sdt>
  <w:p w:rsidR="00456AD6" w:rsidRPr="00456AD6" w:rsidRDefault="00456AD6">
    <w:pPr>
      <w:pStyle w:val="Footer"/>
      <w:rPr>
        <w:b w:val="0"/>
        <w:b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15C" w:rsidRDefault="009B415C" w:rsidP="00456AD6">
      <w:pPr>
        <w:spacing w:line="240" w:lineRule="auto"/>
      </w:pPr>
      <w:r>
        <w:separator/>
      </w:r>
    </w:p>
  </w:footnote>
  <w:footnote w:type="continuationSeparator" w:id="0">
    <w:p w:rsidR="009B415C" w:rsidRDefault="009B415C" w:rsidP="00456AD6">
      <w:pPr>
        <w:spacing w:line="240" w:lineRule="auto"/>
      </w:pPr>
      <w:r>
        <w:continuationSeparator/>
      </w:r>
    </w:p>
  </w:footnote>
  <w:footnote w:id="1">
    <w:p w:rsidR="00E9023C" w:rsidRPr="003A2302" w:rsidRDefault="00E9023C" w:rsidP="003A2302">
      <w:pPr>
        <w:pStyle w:val="FootnoteText"/>
        <w:spacing w:line="264" w:lineRule="auto"/>
        <w:rPr>
          <w:b w:val="0"/>
          <w:bCs w:val="0"/>
        </w:rPr>
      </w:pPr>
      <w:r w:rsidRPr="003A2302">
        <w:rPr>
          <w:rStyle w:val="FootnoteReference"/>
          <w:b w:val="0"/>
          <w:bCs w:val="0"/>
        </w:rPr>
        <w:footnoteRef/>
      </w:r>
      <w:r w:rsidRPr="003A2302">
        <w:rPr>
          <w:b w:val="0"/>
          <w:bCs w:val="0"/>
        </w:rPr>
        <w:t xml:space="preserve"> If his wife returns with him and the (small) children are attached to the mother (</w:t>
      </w:r>
      <w:r w:rsidRPr="003A2302">
        <w:rPr>
          <w:rFonts w:hint="cs"/>
          <w:b w:val="0"/>
          <w:bCs w:val="0"/>
          <w:rtl/>
        </w:rPr>
        <w:t>כרוכים אחריה</w:t>
      </w:r>
      <w:r w:rsidRPr="003A2302">
        <w:rPr>
          <w:b w:val="0"/>
          <w:bCs w:val="0"/>
        </w:rPr>
        <w:t xml:space="preserve">) that is sufficient proof that they are his children and he is </w:t>
      </w:r>
      <w:r w:rsidRPr="003A2302">
        <w:rPr>
          <w:rFonts w:hint="cs"/>
          <w:b w:val="0"/>
          <w:bCs w:val="0"/>
          <w:rtl/>
        </w:rPr>
        <w:t>נאמן להאכילם תרומה</w:t>
      </w:r>
      <w:r w:rsidRPr="003A2302">
        <w:rPr>
          <w:b w:val="0"/>
          <w:bCs w:val="0"/>
        </w:rPr>
        <w:t>.</w:t>
      </w:r>
    </w:p>
  </w:footnote>
  <w:footnote w:id="2">
    <w:p w:rsidR="0014203B" w:rsidRPr="003A2302" w:rsidRDefault="0014203B" w:rsidP="003A2302">
      <w:pPr>
        <w:pStyle w:val="FootnoteText"/>
        <w:spacing w:line="264" w:lineRule="auto"/>
        <w:rPr>
          <w:b w:val="0"/>
          <w:bCs w:val="0"/>
        </w:rPr>
      </w:pPr>
      <w:r w:rsidRPr="003A2302">
        <w:rPr>
          <w:rStyle w:val="FootnoteReference"/>
          <w:b w:val="0"/>
          <w:bCs w:val="0"/>
        </w:rPr>
        <w:footnoteRef/>
      </w:r>
      <w:r w:rsidRPr="003A2302">
        <w:rPr>
          <w:b w:val="0"/>
          <w:bCs w:val="0"/>
        </w:rPr>
        <w:t xml:space="preserve"> This would (seemingly) indicate that if he did not bring a </w:t>
      </w:r>
      <w:r w:rsidRPr="003A2302">
        <w:rPr>
          <w:rFonts w:hint="cs"/>
          <w:b w:val="0"/>
          <w:bCs w:val="0"/>
          <w:rtl/>
        </w:rPr>
        <w:t>ראיה על הגדולים</w:t>
      </w:r>
      <w:r w:rsidRPr="003A2302">
        <w:rPr>
          <w:b w:val="0"/>
          <w:bCs w:val="0"/>
        </w:rPr>
        <w:t xml:space="preserve">, he needs to bring a </w:t>
      </w:r>
      <w:r w:rsidRPr="003A2302">
        <w:rPr>
          <w:rFonts w:hint="cs"/>
          <w:b w:val="0"/>
          <w:bCs w:val="0"/>
          <w:rtl/>
        </w:rPr>
        <w:t>ראיה על הקטנים</w:t>
      </w:r>
      <w:r w:rsidRPr="003A2302">
        <w:rPr>
          <w:b w:val="0"/>
          <w:bCs w:val="0"/>
        </w:rPr>
        <w:t xml:space="preserve"> (even if they</w:t>
      </w:r>
      <w:r w:rsidR="003A2302">
        <w:rPr>
          <w:b w:val="0"/>
          <w:bCs w:val="0"/>
        </w:rPr>
        <w:t xml:space="preserve"> are</w:t>
      </w:r>
      <w:r w:rsidRPr="003A2302">
        <w:rPr>
          <w:b w:val="0"/>
          <w:bCs w:val="0"/>
        </w:rPr>
        <w:t xml:space="preserve"> </w:t>
      </w:r>
      <w:r w:rsidRPr="003A2302">
        <w:rPr>
          <w:rFonts w:hint="cs"/>
          <w:b w:val="0"/>
          <w:bCs w:val="0"/>
          <w:rtl/>
        </w:rPr>
        <w:t>כרוכים אחריה</w:t>
      </w:r>
      <w:r w:rsidRPr="003A2302">
        <w:rPr>
          <w:b w:val="0"/>
          <w:bCs w:val="0"/>
        </w:rPr>
        <w:t>?!).</w:t>
      </w:r>
    </w:p>
  </w:footnote>
  <w:footnote w:id="3">
    <w:p w:rsidR="00E9023C" w:rsidRPr="003A2302" w:rsidRDefault="00E9023C" w:rsidP="003A2302">
      <w:pPr>
        <w:pStyle w:val="FootnoteText"/>
        <w:spacing w:line="264" w:lineRule="auto"/>
        <w:rPr>
          <w:b w:val="0"/>
          <w:bCs w:val="0"/>
        </w:rPr>
      </w:pPr>
      <w:r w:rsidRPr="003A2302">
        <w:rPr>
          <w:rStyle w:val="FootnoteReference"/>
          <w:b w:val="0"/>
          <w:bCs w:val="0"/>
        </w:rPr>
        <w:footnoteRef/>
      </w:r>
      <w:r w:rsidRPr="003A2302">
        <w:rPr>
          <w:b w:val="0"/>
          <w:bCs w:val="0"/>
        </w:rPr>
        <w:t xml:space="preserve"> No proof is required for the </w:t>
      </w:r>
      <w:r w:rsidRPr="003A2302">
        <w:rPr>
          <w:rFonts w:hint="cs"/>
          <w:b w:val="0"/>
          <w:bCs w:val="0"/>
          <w:rtl/>
        </w:rPr>
        <w:t>קטנים</w:t>
      </w:r>
      <w:r w:rsidRPr="003A2302">
        <w:rPr>
          <w:b w:val="0"/>
          <w:bCs w:val="0"/>
        </w:rPr>
        <w:t xml:space="preserve"> if they are </w:t>
      </w:r>
      <w:r w:rsidRPr="003A2302">
        <w:rPr>
          <w:rFonts w:hint="cs"/>
          <w:b w:val="0"/>
          <w:bCs w:val="0"/>
          <w:rtl/>
        </w:rPr>
        <w:t>כרוכים אחריה</w:t>
      </w:r>
      <w:r w:rsidRPr="003A2302">
        <w:rPr>
          <w:b w:val="0"/>
          <w:bCs w:val="0"/>
        </w:rPr>
        <w:t xml:space="preserve">; however proof is required for the </w:t>
      </w:r>
      <w:r w:rsidRPr="003A2302">
        <w:rPr>
          <w:rFonts w:hint="cs"/>
          <w:b w:val="0"/>
          <w:bCs w:val="0"/>
          <w:rtl/>
        </w:rPr>
        <w:t>גדולים</w:t>
      </w:r>
      <w:r w:rsidRPr="003A2302">
        <w:rPr>
          <w:b w:val="0"/>
          <w:bCs w:val="0"/>
        </w:rPr>
        <w:t xml:space="preserve"> since they are not </w:t>
      </w:r>
      <w:r w:rsidRPr="003A2302">
        <w:rPr>
          <w:rFonts w:hint="cs"/>
          <w:b w:val="0"/>
          <w:bCs w:val="0"/>
          <w:rtl/>
        </w:rPr>
        <w:t>כרוכים אחריה</w:t>
      </w:r>
      <w:r w:rsidRPr="003A2302">
        <w:rPr>
          <w:b w:val="0"/>
          <w:bCs w:val="0"/>
        </w:rPr>
        <w:t>.</w:t>
      </w:r>
    </w:p>
  </w:footnote>
  <w:footnote w:id="4">
    <w:p w:rsidR="003A2302" w:rsidRDefault="003A2302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Pr="003A2302">
        <w:rPr>
          <w:b w:val="0"/>
          <w:bCs w:val="0"/>
        </w:rPr>
        <w:t>See ‘Thinking it over’</w:t>
      </w:r>
      <w:r w:rsidR="00683640">
        <w:rPr>
          <w:b w:val="0"/>
          <w:bCs w:val="0"/>
        </w:rPr>
        <w:t xml:space="preserve"> # 1</w:t>
      </w:r>
      <w:r w:rsidRPr="003A2302">
        <w:rPr>
          <w:b w:val="0"/>
          <w:bCs w:val="0"/>
        </w:rPr>
        <w:t>.</w:t>
      </w:r>
    </w:p>
  </w:footnote>
  <w:footnote w:id="5">
    <w:p w:rsidR="006E5DC2" w:rsidRPr="003A2302" w:rsidRDefault="006E5DC2" w:rsidP="003A2302">
      <w:pPr>
        <w:pStyle w:val="FootnoteText"/>
        <w:spacing w:line="264" w:lineRule="auto"/>
        <w:rPr>
          <w:b w:val="0"/>
          <w:bCs w:val="0"/>
        </w:rPr>
      </w:pPr>
      <w:r w:rsidRPr="003A2302">
        <w:rPr>
          <w:rStyle w:val="FootnoteReference"/>
          <w:b w:val="0"/>
          <w:bCs w:val="0"/>
        </w:rPr>
        <w:footnoteRef/>
      </w:r>
      <w:r w:rsidRPr="003A2302">
        <w:rPr>
          <w:b w:val="0"/>
          <w:bCs w:val="0"/>
        </w:rPr>
        <w:t xml:space="preserve"> See previously </w:t>
      </w:r>
      <w:r w:rsidRPr="003A2302">
        <w:rPr>
          <w:rFonts w:hint="cs"/>
          <w:b w:val="0"/>
          <w:bCs w:val="0"/>
          <w:rtl/>
        </w:rPr>
        <w:t>כג</w:t>
      </w:r>
      <w:proofErr w:type="gramStart"/>
      <w:r w:rsidRPr="003A2302">
        <w:rPr>
          <w:rFonts w:hint="cs"/>
          <w:b w:val="0"/>
          <w:bCs w:val="0"/>
          <w:rtl/>
        </w:rPr>
        <w:t>,ב</w:t>
      </w:r>
      <w:proofErr w:type="gramEnd"/>
      <w:r w:rsidR="00215E8A" w:rsidRPr="003A2302">
        <w:rPr>
          <w:b w:val="0"/>
          <w:bCs w:val="0"/>
        </w:rPr>
        <w:t xml:space="preserve"> in the </w:t>
      </w:r>
      <w:r w:rsidR="00215E8A" w:rsidRPr="003A2302">
        <w:rPr>
          <w:rFonts w:hint="cs"/>
          <w:b w:val="0"/>
          <w:bCs w:val="0"/>
          <w:rtl/>
        </w:rPr>
        <w:t>משנה</w:t>
      </w:r>
      <w:r w:rsidRPr="003A2302">
        <w:rPr>
          <w:b w:val="0"/>
          <w:bCs w:val="0"/>
        </w:rPr>
        <w:t>.</w:t>
      </w:r>
      <w:r w:rsidR="00215E8A" w:rsidRPr="003A2302">
        <w:rPr>
          <w:b w:val="0"/>
          <w:bCs w:val="0"/>
        </w:rPr>
        <w:t xml:space="preserve"> See (also) </w:t>
      </w:r>
      <w:r w:rsidR="00215E8A" w:rsidRPr="003A2302">
        <w:rPr>
          <w:rFonts w:hint="cs"/>
          <w:b w:val="0"/>
          <w:bCs w:val="0"/>
          <w:rtl/>
        </w:rPr>
        <w:t>כד</w:t>
      </w:r>
      <w:proofErr w:type="gramStart"/>
      <w:r w:rsidR="00215E8A" w:rsidRPr="003A2302">
        <w:rPr>
          <w:rFonts w:hint="cs"/>
          <w:b w:val="0"/>
          <w:bCs w:val="0"/>
          <w:rtl/>
        </w:rPr>
        <w:t>,ב</w:t>
      </w:r>
      <w:proofErr w:type="gramEnd"/>
      <w:r w:rsidR="00215E8A" w:rsidRPr="003A2302">
        <w:rPr>
          <w:b w:val="0"/>
          <w:bCs w:val="0"/>
        </w:rPr>
        <w:t xml:space="preserve"> (and </w:t>
      </w:r>
      <w:r w:rsidR="00215E8A" w:rsidRPr="003A2302">
        <w:rPr>
          <w:rFonts w:hint="cs"/>
          <w:b w:val="0"/>
          <w:bCs w:val="0"/>
          <w:rtl/>
        </w:rPr>
        <w:t>תוס' ד"ה ואיבעית</w:t>
      </w:r>
      <w:r w:rsidR="00215E8A" w:rsidRPr="003A2302">
        <w:rPr>
          <w:b w:val="0"/>
          <w:bCs w:val="0"/>
        </w:rPr>
        <w:t xml:space="preserve">) that since </w:t>
      </w:r>
      <w:r w:rsidR="00215E8A" w:rsidRPr="003A2302">
        <w:rPr>
          <w:rFonts w:hint="cs"/>
          <w:b w:val="0"/>
          <w:bCs w:val="0"/>
          <w:rtl/>
        </w:rPr>
        <w:t>ר"י</w:t>
      </w:r>
      <w:r w:rsidR="00215E8A" w:rsidRPr="003A2302">
        <w:rPr>
          <w:b w:val="0"/>
          <w:bCs w:val="0"/>
        </w:rPr>
        <w:t xml:space="preserve"> maintains </w:t>
      </w:r>
      <w:r w:rsidR="00215E8A" w:rsidRPr="003A2302">
        <w:rPr>
          <w:rFonts w:hint="cs"/>
          <w:b w:val="0"/>
          <w:bCs w:val="0"/>
          <w:rtl/>
        </w:rPr>
        <w:t>מעלין מתרומה ליוחסין</w:t>
      </w:r>
      <w:r w:rsidR="00215E8A" w:rsidRPr="003A2302">
        <w:rPr>
          <w:b w:val="0"/>
          <w:bCs w:val="0"/>
        </w:rPr>
        <w:t xml:space="preserve">, therefore he requires two </w:t>
      </w:r>
      <w:r w:rsidR="00215E8A" w:rsidRPr="003A2302">
        <w:rPr>
          <w:rFonts w:hint="cs"/>
          <w:b w:val="0"/>
          <w:bCs w:val="0"/>
          <w:rtl/>
        </w:rPr>
        <w:t>עדים</w:t>
      </w:r>
      <w:r w:rsidR="00215E8A" w:rsidRPr="003A2302">
        <w:rPr>
          <w:b w:val="0"/>
          <w:bCs w:val="0"/>
        </w:rPr>
        <w:t xml:space="preserve"> (even) for </w:t>
      </w:r>
      <w:r w:rsidR="00215E8A" w:rsidRPr="003A2302">
        <w:rPr>
          <w:rFonts w:hint="cs"/>
          <w:b w:val="0"/>
          <w:bCs w:val="0"/>
          <w:rtl/>
        </w:rPr>
        <w:t>תרומה</w:t>
      </w:r>
      <w:r w:rsidR="00215E8A" w:rsidRPr="003A2302">
        <w:rPr>
          <w:b w:val="0"/>
          <w:bCs w:val="0"/>
        </w:rPr>
        <w:t>.</w:t>
      </w:r>
    </w:p>
  </w:footnote>
  <w:footnote w:id="6">
    <w:p w:rsidR="00215E8A" w:rsidRPr="003A2302" w:rsidRDefault="00215E8A" w:rsidP="003A2302">
      <w:pPr>
        <w:pStyle w:val="FootnoteText"/>
        <w:spacing w:line="264" w:lineRule="auto"/>
        <w:rPr>
          <w:b w:val="0"/>
          <w:bCs w:val="0"/>
        </w:rPr>
      </w:pPr>
      <w:r w:rsidRPr="003A2302">
        <w:rPr>
          <w:rStyle w:val="FootnoteReference"/>
          <w:b w:val="0"/>
          <w:bCs w:val="0"/>
        </w:rPr>
        <w:footnoteRef/>
      </w:r>
      <w:r w:rsidRPr="003A2302">
        <w:rPr>
          <w:b w:val="0"/>
          <w:bCs w:val="0"/>
        </w:rPr>
        <w:t xml:space="preserve"> Therefore according to </w:t>
      </w:r>
      <w:r w:rsidRPr="003A2302">
        <w:rPr>
          <w:rFonts w:hint="cs"/>
          <w:b w:val="0"/>
          <w:bCs w:val="0"/>
          <w:rtl/>
        </w:rPr>
        <w:t>ר"י</w:t>
      </w:r>
      <w:r w:rsidRPr="003A2302">
        <w:rPr>
          <w:b w:val="0"/>
          <w:bCs w:val="0"/>
        </w:rPr>
        <w:t xml:space="preserve"> that two </w:t>
      </w:r>
      <w:r w:rsidRPr="003A2302">
        <w:rPr>
          <w:rFonts w:hint="cs"/>
          <w:b w:val="0"/>
          <w:bCs w:val="0"/>
          <w:rtl/>
        </w:rPr>
        <w:t>עדים</w:t>
      </w:r>
      <w:r w:rsidRPr="003A2302">
        <w:rPr>
          <w:b w:val="0"/>
          <w:bCs w:val="0"/>
        </w:rPr>
        <w:t xml:space="preserve"> are required for </w:t>
      </w:r>
      <w:r w:rsidRPr="003A2302">
        <w:rPr>
          <w:rFonts w:hint="cs"/>
          <w:b w:val="0"/>
          <w:bCs w:val="0"/>
          <w:rtl/>
        </w:rPr>
        <w:t>תרומה (ויוחסין)</w:t>
      </w:r>
      <w:r w:rsidRPr="003A2302">
        <w:rPr>
          <w:b w:val="0"/>
          <w:bCs w:val="0"/>
        </w:rPr>
        <w:t xml:space="preserve">, it is necessary for the father to bring proof (two </w:t>
      </w:r>
      <w:r w:rsidRPr="003A2302">
        <w:rPr>
          <w:rFonts w:hint="cs"/>
          <w:b w:val="0"/>
          <w:bCs w:val="0"/>
          <w:rtl/>
        </w:rPr>
        <w:t>עדים</w:t>
      </w:r>
      <w:r w:rsidRPr="003A2302">
        <w:rPr>
          <w:b w:val="0"/>
          <w:bCs w:val="0"/>
        </w:rPr>
        <w:t xml:space="preserve"> for </w:t>
      </w:r>
      <w:r w:rsidRPr="003A2302">
        <w:rPr>
          <w:rFonts w:hint="cs"/>
          <w:b w:val="0"/>
          <w:bCs w:val="0"/>
          <w:rtl/>
        </w:rPr>
        <w:t>בניו הגדולים</w:t>
      </w:r>
      <w:r w:rsidRPr="003A2302">
        <w:rPr>
          <w:b w:val="0"/>
          <w:bCs w:val="0"/>
        </w:rPr>
        <w:t xml:space="preserve"> and/or </w:t>
      </w:r>
      <w:r w:rsidRPr="003A2302">
        <w:rPr>
          <w:rFonts w:hint="cs"/>
          <w:b w:val="0"/>
          <w:bCs w:val="0"/>
          <w:rtl/>
        </w:rPr>
        <w:t>כרוכים אחריה</w:t>
      </w:r>
      <w:r w:rsidRPr="003A2302">
        <w:rPr>
          <w:b w:val="0"/>
          <w:bCs w:val="0"/>
        </w:rPr>
        <w:t xml:space="preserve"> [which is better that </w:t>
      </w:r>
      <w:proofErr w:type="gramStart"/>
      <w:r w:rsidRPr="003A2302">
        <w:rPr>
          <w:b w:val="0"/>
          <w:bCs w:val="0"/>
        </w:rPr>
        <w:t>an</w:t>
      </w:r>
      <w:proofErr w:type="gramEnd"/>
      <w:r w:rsidRPr="003A2302">
        <w:rPr>
          <w:b w:val="0"/>
          <w:bCs w:val="0"/>
        </w:rPr>
        <w:t xml:space="preserve"> </w:t>
      </w:r>
      <w:r w:rsidRPr="003A2302">
        <w:rPr>
          <w:rFonts w:hint="cs"/>
          <w:b w:val="0"/>
          <w:bCs w:val="0"/>
          <w:rtl/>
        </w:rPr>
        <w:t>ע"א</w:t>
      </w:r>
      <w:r w:rsidRPr="003A2302">
        <w:rPr>
          <w:b w:val="0"/>
          <w:bCs w:val="0"/>
        </w:rPr>
        <w:t xml:space="preserve">] for </w:t>
      </w:r>
      <w:r w:rsidRPr="003A2302">
        <w:rPr>
          <w:rFonts w:hint="cs"/>
          <w:b w:val="0"/>
          <w:bCs w:val="0"/>
          <w:rtl/>
        </w:rPr>
        <w:t>בניו הקטנים</w:t>
      </w:r>
      <w:r w:rsidRPr="003A2302">
        <w:rPr>
          <w:b w:val="0"/>
          <w:bCs w:val="0"/>
        </w:rPr>
        <w:t xml:space="preserve">). However </w:t>
      </w:r>
      <w:r w:rsidRPr="003A2302">
        <w:rPr>
          <w:rFonts w:hint="cs"/>
          <w:b w:val="0"/>
          <w:bCs w:val="0"/>
          <w:rtl/>
        </w:rPr>
        <w:t>רבי</w:t>
      </w:r>
      <w:r w:rsidRPr="003A2302">
        <w:rPr>
          <w:b w:val="0"/>
          <w:bCs w:val="0"/>
        </w:rPr>
        <w:t xml:space="preserve"> who maintains that </w:t>
      </w:r>
      <w:r w:rsidRPr="003A2302">
        <w:rPr>
          <w:rFonts w:hint="cs"/>
          <w:b w:val="0"/>
          <w:bCs w:val="0"/>
          <w:rtl/>
        </w:rPr>
        <w:t>אין מעלין מתרומה ליוחסין</w:t>
      </w:r>
      <w:r w:rsidRPr="003A2302">
        <w:rPr>
          <w:b w:val="0"/>
          <w:bCs w:val="0"/>
        </w:rPr>
        <w:t xml:space="preserve"> and </w:t>
      </w:r>
      <w:r w:rsidRPr="003A2302">
        <w:rPr>
          <w:rFonts w:hint="cs"/>
          <w:b w:val="0"/>
          <w:bCs w:val="0"/>
          <w:rtl/>
        </w:rPr>
        <w:t>מעלין לתרומה ע"פ ע"א</w:t>
      </w:r>
      <w:r w:rsidRPr="003A2302">
        <w:rPr>
          <w:b w:val="0"/>
          <w:bCs w:val="0"/>
        </w:rPr>
        <w:t xml:space="preserve">, the father alone is believed since </w:t>
      </w:r>
      <w:r w:rsidRPr="003A2302">
        <w:rPr>
          <w:rFonts w:hint="cs"/>
          <w:b w:val="0"/>
          <w:bCs w:val="0"/>
          <w:rtl/>
        </w:rPr>
        <w:t>בידו להאכילו</w:t>
      </w:r>
      <w:r w:rsidRPr="003A2302">
        <w:rPr>
          <w:b w:val="0"/>
          <w:bCs w:val="0"/>
        </w:rPr>
        <w:t xml:space="preserve"> (is at least as good as </w:t>
      </w:r>
      <w:proofErr w:type="gramStart"/>
      <w:r w:rsidRPr="003A2302">
        <w:rPr>
          <w:b w:val="0"/>
          <w:bCs w:val="0"/>
        </w:rPr>
        <w:t>an</w:t>
      </w:r>
      <w:proofErr w:type="gramEnd"/>
      <w:r w:rsidRPr="003A2302">
        <w:rPr>
          <w:b w:val="0"/>
          <w:bCs w:val="0"/>
        </w:rPr>
        <w:t xml:space="preserve"> </w:t>
      </w:r>
      <w:r w:rsidRPr="003A2302">
        <w:rPr>
          <w:rFonts w:hint="cs"/>
          <w:b w:val="0"/>
          <w:bCs w:val="0"/>
          <w:rtl/>
        </w:rPr>
        <w:t>ע"א</w:t>
      </w:r>
      <w:r w:rsidRPr="003A2302">
        <w:rPr>
          <w:b w:val="0"/>
          <w:bCs w:val="0"/>
        </w:rPr>
        <w:t xml:space="preserve">). </w:t>
      </w:r>
    </w:p>
  </w:footnote>
  <w:footnote w:id="7">
    <w:p w:rsidR="00FE783F" w:rsidRPr="005661A1" w:rsidRDefault="00FE783F" w:rsidP="005661A1">
      <w:pPr>
        <w:pStyle w:val="FootnoteText"/>
        <w:spacing w:line="264" w:lineRule="auto"/>
        <w:rPr>
          <w:b w:val="0"/>
          <w:bCs w:val="0"/>
        </w:rPr>
      </w:pPr>
      <w:r w:rsidRPr="003A2302">
        <w:rPr>
          <w:rStyle w:val="FootnoteReference"/>
          <w:b w:val="0"/>
          <w:bCs w:val="0"/>
        </w:rPr>
        <w:footnoteRef/>
      </w:r>
      <w:r w:rsidRPr="003A2302">
        <w:rPr>
          <w:b w:val="0"/>
          <w:bCs w:val="0"/>
        </w:rPr>
        <w:t xml:space="preserve"> According to the </w:t>
      </w:r>
      <w:r w:rsidRPr="003A2302">
        <w:rPr>
          <w:rFonts w:hint="cs"/>
          <w:b w:val="0"/>
          <w:bCs w:val="0"/>
          <w:rtl/>
        </w:rPr>
        <w:t>ר"ת</w:t>
      </w:r>
      <w:r w:rsidRPr="003A2302">
        <w:rPr>
          <w:b w:val="0"/>
          <w:bCs w:val="0"/>
        </w:rPr>
        <w:t xml:space="preserve"> we have established the </w:t>
      </w:r>
      <w:r w:rsidRPr="003A2302">
        <w:rPr>
          <w:rFonts w:hint="cs"/>
          <w:b w:val="0"/>
          <w:bCs w:val="0"/>
          <w:rtl/>
        </w:rPr>
        <w:t>משנה וברייתא</w:t>
      </w:r>
      <w:r w:rsidRPr="003A2302">
        <w:rPr>
          <w:b w:val="0"/>
          <w:bCs w:val="0"/>
        </w:rPr>
        <w:t xml:space="preserve"> in </w:t>
      </w:r>
      <w:r w:rsidRPr="003A2302">
        <w:rPr>
          <w:rFonts w:hint="cs"/>
          <w:b w:val="0"/>
          <w:bCs w:val="0"/>
          <w:rtl/>
        </w:rPr>
        <w:t>קדושין</w:t>
      </w:r>
      <w:r w:rsidRPr="003A2302">
        <w:rPr>
          <w:b w:val="0"/>
          <w:bCs w:val="0"/>
        </w:rPr>
        <w:t xml:space="preserve"> according to </w:t>
      </w:r>
      <w:r w:rsidRPr="003A2302">
        <w:rPr>
          <w:rFonts w:hint="cs"/>
          <w:b w:val="0"/>
          <w:bCs w:val="0"/>
          <w:rtl/>
        </w:rPr>
        <w:t>ר"י</w:t>
      </w:r>
      <w:r w:rsidRPr="003A2302">
        <w:rPr>
          <w:b w:val="0"/>
          <w:bCs w:val="0"/>
        </w:rPr>
        <w:t xml:space="preserve"> who maintains (see footnote # </w:t>
      </w:r>
      <w:r w:rsidR="00683640">
        <w:rPr>
          <w:rFonts w:hint="cs"/>
          <w:b w:val="0"/>
          <w:bCs w:val="0"/>
          <w:rtl/>
        </w:rPr>
        <w:t>5</w:t>
      </w:r>
      <w:r w:rsidRPr="003A2302">
        <w:rPr>
          <w:b w:val="0"/>
          <w:bCs w:val="0"/>
        </w:rPr>
        <w:t xml:space="preserve">) </w:t>
      </w:r>
      <w:r w:rsidRPr="003A2302">
        <w:rPr>
          <w:rFonts w:hint="cs"/>
          <w:b w:val="0"/>
          <w:bCs w:val="0"/>
          <w:rtl/>
        </w:rPr>
        <w:t>מעלין מתרומה ליוחסין</w:t>
      </w:r>
      <w:r w:rsidRPr="003A2302">
        <w:rPr>
          <w:b w:val="0"/>
          <w:bCs w:val="0"/>
        </w:rPr>
        <w:t xml:space="preserve"> and an </w:t>
      </w:r>
      <w:r w:rsidRPr="003A2302">
        <w:rPr>
          <w:rFonts w:hint="cs"/>
          <w:b w:val="0"/>
          <w:bCs w:val="0"/>
          <w:rtl/>
        </w:rPr>
        <w:t>ע"א</w:t>
      </w:r>
      <w:r w:rsidRPr="003A2302">
        <w:rPr>
          <w:b w:val="0"/>
          <w:bCs w:val="0"/>
        </w:rPr>
        <w:t xml:space="preserve"> is not sufficient </w:t>
      </w:r>
      <w:r w:rsidRPr="003A2302">
        <w:rPr>
          <w:rFonts w:hint="cs"/>
          <w:b w:val="0"/>
          <w:bCs w:val="0"/>
          <w:rtl/>
        </w:rPr>
        <w:t>להאכילו תרומה</w:t>
      </w:r>
      <w:r w:rsidRPr="003A2302">
        <w:rPr>
          <w:b w:val="0"/>
          <w:bCs w:val="0"/>
        </w:rPr>
        <w:t xml:space="preserve">, therefore we must say that the </w:t>
      </w:r>
      <w:r w:rsidR="00683640">
        <w:rPr>
          <w:b w:val="0"/>
          <w:bCs w:val="0"/>
        </w:rPr>
        <w:t>proof</w:t>
      </w:r>
      <w:r w:rsidRPr="003A2302">
        <w:rPr>
          <w:b w:val="0"/>
          <w:bCs w:val="0"/>
        </w:rPr>
        <w:t xml:space="preserve"> of </w:t>
      </w:r>
      <w:r w:rsidRPr="003A2302">
        <w:rPr>
          <w:rFonts w:hint="cs"/>
          <w:b w:val="0"/>
          <w:bCs w:val="0"/>
          <w:rtl/>
        </w:rPr>
        <w:t>כרוכים אחריה</w:t>
      </w:r>
      <w:r w:rsidRPr="003A2302">
        <w:rPr>
          <w:b w:val="0"/>
          <w:bCs w:val="0"/>
        </w:rPr>
        <w:t xml:space="preserve"> is better than an </w:t>
      </w:r>
      <w:r w:rsidRPr="003A2302">
        <w:rPr>
          <w:rFonts w:hint="cs"/>
          <w:b w:val="0"/>
          <w:bCs w:val="0"/>
          <w:rtl/>
        </w:rPr>
        <w:t>ע"א</w:t>
      </w:r>
      <w:r w:rsidRPr="003A2302">
        <w:rPr>
          <w:b w:val="0"/>
          <w:bCs w:val="0"/>
        </w:rPr>
        <w:t xml:space="preserve"> (it is like </w:t>
      </w:r>
      <w:r w:rsidRPr="003A2302">
        <w:rPr>
          <w:rFonts w:hint="cs"/>
          <w:b w:val="0"/>
          <w:bCs w:val="0"/>
          <w:rtl/>
        </w:rPr>
        <w:t>ב' עדים</w:t>
      </w:r>
      <w:r w:rsidRPr="003A2302">
        <w:rPr>
          <w:b w:val="0"/>
          <w:bCs w:val="0"/>
        </w:rPr>
        <w:t xml:space="preserve">) since once we permit them to eat </w:t>
      </w:r>
      <w:r w:rsidRPr="003A2302">
        <w:rPr>
          <w:rFonts w:hint="cs"/>
          <w:b w:val="0"/>
          <w:bCs w:val="0"/>
          <w:rtl/>
        </w:rPr>
        <w:t>תרומה</w:t>
      </w:r>
      <w:r w:rsidRPr="003A2302">
        <w:rPr>
          <w:b w:val="0"/>
          <w:bCs w:val="0"/>
        </w:rPr>
        <w:t xml:space="preserve"> they will be </w:t>
      </w:r>
      <w:r w:rsidRPr="003A2302">
        <w:rPr>
          <w:rFonts w:hint="cs"/>
          <w:b w:val="0"/>
          <w:bCs w:val="0"/>
          <w:rtl/>
        </w:rPr>
        <w:t>כשר ליוחסין</w:t>
      </w:r>
      <w:r w:rsidRPr="003A2302">
        <w:rPr>
          <w:b w:val="0"/>
          <w:bCs w:val="0"/>
        </w:rPr>
        <w:t xml:space="preserve">, which requires </w:t>
      </w:r>
      <w:r w:rsidRPr="005661A1">
        <w:rPr>
          <w:rFonts w:hint="cs"/>
          <w:b w:val="0"/>
          <w:bCs w:val="0"/>
          <w:rtl/>
        </w:rPr>
        <w:t>ב' עדים</w:t>
      </w:r>
      <w:r w:rsidRPr="005661A1">
        <w:rPr>
          <w:b w:val="0"/>
          <w:bCs w:val="0"/>
        </w:rPr>
        <w:t xml:space="preserve"> according to everyone.</w:t>
      </w:r>
    </w:p>
  </w:footnote>
  <w:footnote w:id="8">
    <w:p w:rsidR="005661A1" w:rsidRPr="005661A1" w:rsidRDefault="005661A1" w:rsidP="003B4147">
      <w:pPr>
        <w:pStyle w:val="FootnoteText"/>
        <w:spacing w:line="264" w:lineRule="auto"/>
        <w:rPr>
          <w:b w:val="0"/>
          <w:bCs w:val="0"/>
        </w:rPr>
      </w:pPr>
      <w:r w:rsidRPr="005661A1">
        <w:rPr>
          <w:rStyle w:val="FootnoteReference"/>
          <w:b w:val="0"/>
          <w:bCs w:val="0"/>
        </w:rPr>
        <w:footnoteRef/>
      </w:r>
      <w:r w:rsidRPr="005661A1">
        <w:rPr>
          <w:rFonts w:hint="cs"/>
          <w:b w:val="0"/>
          <w:bCs w:val="0"/>
          <w:rtl/>
        </w:rPr>
        <w:t xml:space="preserve">דליכא למימר ליוחסין להשיאו אשה דהא </w:t>
      </w:r>
      <w:r w:rsidRPr="005661A1">
        <w:rPr>
          <w:rFonts w:hint="cs"/>
          <w:b w:val="0"/>
          <w:bCs w:val="0"/>
          <w:rtl/>
        </w:rPr>
        <w:t>לרבי יהודה במקום שנאמן להאכילו תרומה נאמן גם להשיאו אשה דמעלין מתרומה ליוחסין, תוספות ישנים</w:t>
      </w:r>
      <w:r w:rsidRPr="005661A1">
        <w:rPr>
          <w:b w:val="0"/>
          <w:bCs w:val="0"/>
        </w:rPr>
        <w:t>.</w:t>
      </w:r>
    </w:p>
  </w:footnote>
  <w:footnote w:id="9">
    <w:p w:rsidR="008E7ABB" w:rsidRPr="003A2302" w:rsidRDefault="008E7ABB" w:rsidP="005661A1">
      <w:pPr>
        <w:pStyle w:val="FootnoteText"/>
        <w:spacing w:line="264" w:lineRule="auto"/>
        <w:rPr>
          <w:b w:val="0"/>
          <w:bCs w:val="0"/>
        </w:rPr>
      </w:pPr>
      <w:r w:rsidRPr="005661A1">
        <w:rPr>
          <w:rStyle w:val="FootnoteReference"/>
          <w:b w:val="0"/>
          <w:bCs w:val="0"/>
        </w:rPr>
        <w:footnoteRef/>
      </w:r>
      <w:r w:rsidRPr="005661A1">
        <w:rPr>
          <w:b w:val="0"/>
          <w:bCs w:val="0"/>
        </w:rPr>
        <w:t xml:space="preserve"> This means if this child (who was </w:t>
      </w:r>
      <w:r w:rsidRPr="005661A1">
        <w:rPr>
          <w:rFonts w:hint="cs"/>
          <w:b w:val="0"/>
          <w:bCs w:val="0"/>
          <w:rtl/>
        </w:rPr>
        <w:t>כרוך אחר אמו</w:t>
      </w:r>
      <w:r w:rsidRPr="005661A1">
        <w:rPr>
          <w:b w:val="0"/>
          <w:bCs w:val="0"/>
        </w:rPr>
        <w:t>) had relations with his (alleged) parent he will not receive the</w:t>
      </w:r>
      <w:r w:rsidRPr="003A2302">
        <w:rPr>
          <w:b w:val="0"/>
          <w:bCs w:val="0"/>
        </w:rPr>
        <w:t xml:space="preserve"> punishment of </w:t>
      </w:r>
      <w:r w:rsidRPr="003A2302">
        <w:rPr>
          <w:rFonts w:hint="cs"/>
          <w:b w:val="0"/>
          <w:bCs w:val="0"/>
          <w:rtl/>
        </w:rPr>
        <w:t>סקילה</w:t>
      </w:r>
      <w:r w:rsidRPr="003A2302">
        <w:rPr>
          <w:b w:val="0"/>
          <w:bCs w:val="0"/>
        </w:rPr>
        <w:t xml:space="preserve"> or </w:t>
      </w:r>
      <w:r w:rsidRPr="003A2302">
        <w:rPr>
          <w:rFonts w:hint="cs"/>
          <w:b w:val="0"/>
          <w:bCs w:val="0"/>
          <w:rtl/>
        </w:rPr>
        <w:t>שריפה</w:t>
      </w:r>
      <w:r w:rsidRPr="003A2302">
        <w:rPr>
          <w:b w:val="0"/>
          <w:bCs w:val="0"/>
        </w:rPr>
        <w:t xml:space="preserve"> (based on </w:t>
      </w:r>
      <w:r w:rsidRPr="003A2302">
        <w:rPr>
          <w:rFonts w:hint="cs"/>
          <w:b w:val="0"/>
          <w:bCs w:val="0"/>
          <w:rtl/>
        </w:rPr>
        <w:t>כרוך אחריה</w:t>
      </w:r>
      <w:r w:rsidRPr="003A2302">
        <w:rPr>
          <w:b w:val="0"/>
          <w:bCs w:val="0"/>
        </w:rPr>
        <w:t xml:space="preserve"> alone) unless there are </w:t>
      </w:r>
      <w:r w:rsidRPr="003A2302">
        <w:rPr>
          <w:rFonts w:hint="cs"/>
          <w:b w:val="0"/>
          <w:bCs w:val="0"/>
          <w:rtl/>
        </w:rPr>
        <w:t>עדים</w:t>
      </w:r>
      <w:r w:rsidRPr="003A2302">
        <w:rPr>
          <w:b w:val="0"/>
          <w:bCs w:val="0"/>
        </w:rPr>
        <w:t xml:space="preserve"> that this is their child.</w:t>
      </w:r>
    </w:p>
  </w:footnote>
  <w:footnote w:id="10">
    <w:p w:rsidR="00683640" w:rsidRPr="003A2302" w:rsidRDefault="00683640" w:rsidP="00683640">
      <w:pPr>
        <w:pStyle w:val="FootnoteText"/>
        <w:spacing w:line="264" w:lineRule="auto"/>
        <w:rPr>
          <w:b w:val="0"/>
          <w:bCs w:val="0"/>
        </w:rPr>
      </w:pPr>
      <w:r w:rsidRPr="003A2302">
        <w:rPr>
          <w:rStyle w:val="FootnoteReference"/>
          <w:b w:val="0"/>
          <w:bCs w:val="0"/>
        </w:rPr>
        <w:footnoteRef/>
      </w:r>
      <w:r w:rsidRPr="003A2302">
        <w:rPr>
          <w:b w:val="0"/>
          <w:bCs w:val="0"/>
        </w:rPr>
        <w:t xml:space="preserve"> This would seem to indicate that the dispute between </w:t>
      </w:r>
      <w:r w:rsidRPr="003A2302">
        <w:rPr>
          <w:rFonts w:hint="cs"/>
          <w:b w:val="0"/>
          <w:bCs w:val="0"/>
          <w:rtl/>
        </w:rPr>
        <w:t>ר"י ור"ל</w:t>
      </w:r>
      <w:r w:rsidRPr="003A2302">
        <w:rPr>
          <w:b w:val="0"/>
          <w:bCs w:val="0"/>
        </w:rPr>
        <w:t xml:space="preserve"> (regarding </w:t>
      </w:r>
      <w:r w:rsidRPr="003A2302">
        <w:rPr>
          <w:rFonts w:hint="cs"/>
          <w:b w:val="0"/>
          <w:bCs w:val="0"/>
          <w:rtl/>
        </w:rPr>
        <w:t>יוחסין</w:t>
      </w:r>
      <w:r w:rsidRPr="003A2302">
        <w:rPr>
          <w:b w:val="0"/>
          <w:bCs w:val="0"/>
        </w:rPr>
        <w:t xml:space="preserve">) is in reference to the punishment of </w:t>
      </w:r>
      <w:r w:rsidRPr="003A2302">
        <w:rPr>
          <w:rFonts w:hint="cs"/>
          <w:b w:val="0"/>
          <w:bCs w:val="0"/>
          <w:rtl/>
        </w:rPr>
        <w:t>סקילה</w:t>
      </w:r>
      <w:r w:rsidRPr="003A2302">
        <w:rPr>
          <w:b w:val="0"/>
          <w:bCs w:val="0"/>
        </w:rPr>
        <w:t xml:space="preserve">, which in turn supports the view of </w:t>
      </w:r>
      <w:r w:rsidRPr="003A2302">
        <w:rPr>
          <w:rFonts w:hint="cs"/>
          <w:b w:val="0"/>
          <w:bCs w:val="0"/>
          <w:rtl/>
        </w:rPr>
        <w:t>תוספות</w:t>
      </w:r>
      <w:r w:rsidRPr="003A2302">
        <w:rPr>
          <w:b w:val="0"/>
          <w:bCs w:val="0"/>
        </w:rPr>
        <w:t xml:space="preserve"> that </w:t>
      </w:r>
      <w:r w:rsidRPr="003A2302">
        <w:rPr>
          <w:rFonts w:hint="cs"/>
          <w:b w:val="0"/>
          <w:bCs w:val="0"/>
          <w:rtl/>
        </w:rPr>
        <w:t>יוחסין</w:t>
      </w:r>
      <w:r w:rsidRPr="003A2302">
        <w:rPr>
          <w:b w:val="0"/>
          <w:bCs w:val="0"/>
        </w:rPr>
        <w:t xml:space="preserve"> here refers to meting out the death penalty, but not regarding marrying a </w:t>
      </w:r>
      <w:r w:rsidRPr="003A2302">
        <w:rPr>
          <w:rFonts w:hint="cs"/>
          <w:b w:val="0"/>
          <w:bCs w:val="0"/>
          <w:rtl/>
        </w:rPr>
        <w:t>מיוחס</w:t>
      </w:r>
      <w:r w:rsidRPr="003A2302">
        <w:rPr>
          <w:b w:val="0"/>
          <w:bCs w:val="0"/>
        </w:rPr>
        <w:t>.</w:t>
      </w:r>
    </w:p>
  </w:footnote>
  <w:footnote w:id="11">
    <w:p w:rsidR="00B8133D" w:rsidRPr="003A2302" w:rsidRDefault="00B8133D" w:rsidP="003A2302">
      <w:pPr>
        <w:pStyle w:val="FootnoteText"/>
        <w:spacing w:line="264" w:lineRule="auto"/>
        <w:rPr>
          <w:b w:val="0"/>
          <w:bCs w:val="0"/>
        </w:rPr>
      </w:pPr>
      <w:r w:rsidRPr="003A2302">
        <w:rPr>
          <w:rStyle w:val="FootnoteReference"/>
          <w:b w:val="0"/>
          <w:bCs w:val="0"/>
        </w:rPr>
        <w:footnoteRef/>
      </w:r>
      <w:r w:rsidRPr="003A2302">
        <w:rPr>
          <w:b w:val="0"/>
          <w:bCs w:val="0"/>
        </w:rPr>
        <w:t xml:space="preserve"> This seems to be an addendum (from </w:t>
      </w:r>
      <w:r w:rsidRPr="003A2302">
        <w:rPr>
          <w:rFonts w:hint="cs"/>
          <w:b w:val="0"/>
          <w:bCs w:val="0"/>
          <w:rtl/>
        </w:rPr>
        <w:t>תוספות ישנים</w:t>
      </w:r>
      <w:r w:rsidRPr="003A2302">
        <w:rPr>
          <w:b w:val="0"/>
          <w:bCs w:val="0"/>
        </w:rPr>
        <w:t>).</w:t>
      </w:r>
      <w:r w:rsidR="00683640">
        <w:rPr>
          <w:b w:val="0"/>
          <w:bCs w:val="0"/>
        </w:rPr>
        <w:t xml:space="preserve"> See ‘Thinking it over’ # 2.</w:t>
      </w:r>
    </w:p>
  </w:footnote>
  <w:footnote w:id="12">
    <w:p w:rsidR="00691EC6" w:rsidRPr="00160A9E" w:rsidRDefault="00691EC6" w:rsidP="00160A9E">
      <w:pPr>
        <w:pStyle w:val="FootnoteText"/>
        <w:widowControl w:val="0"/>
        <w:spacing w:line="264" w:lineRule="auto"/>
        <w:rPr>
          <w:b w:val="0"/>
          <w:bCs w:val="0"/>
        </w:rPr>
      </w:pPr>
      <w:r w:rsidRPr="00160A9E">
        <w:rPr>
          <w:rStyle w:val="FootnoteReference"/>
          <w:b w:val="0"/>
          <w:bCs w:val="0"/>
        </w:rPr>
        <w:footnoteRef/>
      </w:r>
      <w:r w:rsidRPr="00160A9E">
        <w:rPr>
          <w:b w:val="0"/>
          <w:bCs w:val="0"/>
        </w:rPr>
        <w:t xml:space="preserve"> See footnote # 4.</w:t>
      </w:r>
    </w:p>
  </w:footnote>
  <w:footnote w:id="13">
    <w:p w:rsidR="00691EC6" w:rsidRPr="00160A9E" w:rsidRDefault="00691EC6" w:rsidP="00160A9E">
      <w:pPr>
        <w:pStyle w:val="FootnoteText"/>
        <w:widowControl w:val="0"/>
        <w:spacing w:line="264" w:lineRule="auto"/>
        <w:rPr>
          <w:b w:val="0"/>
          <w:bCs w:val="0"/>
        </w:rPr>
      </w:pPr>
      <w:r w:rsidRPr="00160A9E">
        <w:rPr>
          <w:rStyle w:val="FootnoteReference"/>
          <w:b w:val="0"/>
          <w:bCs w:val="0"/>
        </w:rPr>
        <w:footnoteRef/>
      </w:r>
      <w:r w:rsidRPr="00160A9E">
        <w:rPr>
          <w:b w:val="0"/>
          <w:bCs w:val="0"/>
        </w:rPr>
        <w:t xml:space="preserve"> See </w:t>
      </w:r>
      <w:r w:rsidRPr="00160A9E">
        <w:rPr>
          <w:rFonts w:hint="cs"/>
          <w:b w:val="0"/>
          <w:bCs w:val="0"/>
          <w:rtl/>
        </w:rPr>
        <w:t>פנ"י</w:t>
      </w:r>
      <w:r w:rsidRPr="00160A9E">
        <w:rPr>
          <w:b w:val="0"/>
          <w:bCs w:val="0"/>
        </w:rPr>
        <w:t>.</w:t>
      </w:r>
    </w:p>
  </w:footnote>
  <w:footnote w:id="14">
    <w:p w:rsidR="00683640" w:rsidRPr="00160A9E" w:rsidRDefault="00683640" w:rsidP="003B4147">
      <w:pPr>
        <w:pStyle w:val="FootnoteText"/>
        <w:widowControl w:val="0"/>
        <w:spacing w:line="264" w:lineRule="auto"/>
        <w:rPr>
          <w:b w:val="0"/>
          <w:bCs w:val="0"/>
        </w:rPr>
      </w:pPr>
      <w:r w:rsidRPr="00160A9E">
        <w:rPr>
          <w:rStyle w:val="FootnoteReference"/>
          <w:b w:val="0"/>
          <w:bCs w:val="0"/>
        </w:rPr>
        <w:footnoteRef/>
      </w:r>
      <w:r w:rsidRPr="00160A9E">
        <w:rPr>
          <w:b w:val="0"/>
          <w:bCs w:val="0"/>
        </w:rPr>
        <w:t xml:space="preserve"> See footnote # 1</w:t>
      </w:r>
      <w:r w:rsidR="003B4147">
        <w:rPr>
          <w:rFonts w:hint="cs"/>
          <w:b w:val="0"/>
          <w:bCs w:val="0"/>
          <w:rtl/>
        </w:rPr>
        <w:t>1</w:t>
      </w:r>
      <w:r w:rsidRPr="00160A9E">
        <w:rPr>
          <w:b w:val="0"/>
          <w:bCs w:val="0"/>
        </w:rPr>
        <w:t>.</w:t>
      </w:r>
    </w:p>
  </w:footnote>
  <w:footnote w:id="15">
    <w:p w:rsidR="00160A9E" w:rsidRPr="00160A9E" w:rsidRDefault="00160A9E" w:rsidP="00160A9E">
      <w:pPr>
        <w:pStyle w:val="FootnoteText"/>
        <w:widowControl w:val="0"/>
        <w:spacing w:line="264" w:lineRule="auto"/>
        <w:rPr>
          <w:b w:val="0"/>
          <w:bCs w:val="0"/>
        </w:rPr>
      </w:pPr>
      <w:r w:rsidRPr="00160A9E">
        <w:rPr>
          <w:rStyle w:val="FootnoteReference"/>
          <w:b w:val="0"/>
          <w:bCs w:val="0"/>
        </w:rPr>
        <w:footnoteRef/>
      </w:r>
      <w:r w:rsidRPr="00160A9E">
        <w:rPr>
          <w:b w:val="0"/>
          <w:bCs w:val="0"/>
        </w:rPr>
        <w:t xml:space="preserve"> See </w:t>
      </w:r>
      <w:r w:rsidRPr="00160A9E">
        <w:rPr>
          <w:rFonts w:hint="cs"/>
          <w:b w:val="0"/>
          <w:bCs w:val="0"/>
          <w:rtl/>
        </w:rPr>
        <w:t>בית יעקב</w:t>
      </w:r>
      <w:r w:rsidRPr="00160A9E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AD6" w:rsidRPr="00456AD6" w:rsidRDefault="00456AD6" w:rsidP="00456AD6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כה,ב תוס' ד"ה נאמן (הב')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BCA"/>
    <w:rsid w:val="001226D7"/>
    <w:rsid w:val="0014203B"/>
    <w:rsid w:val="00160A9E"/>
    <w:rsid w:val="00200B36"/>
    <w:rsid w:val="00215E8A"/>
    <w:rsid w:val="00263BCA"/>
    <w:rsid w:val="003667E2"/>
    <w:rsid w:val="003A2302"/>
    <w:rsid w:val="003B4147"/>
    <w:rsid w:val="003D4453"/>
    <w:rsid w:val="00456AD6"/>
    <w:rsid w:val="005661A1"/>
    <w:rsid w:val="00683640"/>
    <w:rsid w:val="00691EC6"/>
    <w:rsid w:val="006E5DAD"/>
    <w:rsid w:val="006E5DC2"/>
    <w:rsid w:val="008E7ABB"/>
    <w:rsid w:val="009B415C"/>
    <w:rsid w:val="00B8133D"/>
    <w:rsid w:val="00E9023C"/>
    <w:rsid w:val="00F37FB9"/>
    <w:rsid w:val="00FE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B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AD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AD6"/>
  </w:style>
  <w:style w:type="paragraph" w:styleId="Footer">
    <w:name w:val="footer"/>
    <w:basedOn w:val="Normal"/>
    <w:link w:val="FooterChar"/>
    <w:uiPriority w:val="99"/>
    <w:unhideWhenUsed/>
    <w:rsid w:val="00456AD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AD6"/>
  </w:style>
  <w:style w:type="paragraph" w:styleId="FootnoteText">
    <w:name w:val="footnote text"/>
    <w:basedOn w:val="Normal"/>
    <w:link w:val="FootnoteTextChar"/>
    <w:uiPriority w:val="99"/>
    <w:semiHidden/>
    <w:unhideWhenUsed/>
    <w:rsid w:val="00E9023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023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023C"/>
    <w:rPr>
      <w:vertAlign w:val="superscript"/>
    </w:rPr>
  </w:style>
  <w:style w:type="paragraph" w:styleId="ListParagraph">
    <w:name w:val="List Paragraph"/>
    <w:basedOn w:val="Normal"/>
    <w:uiPriority w:val="34"/>
    <w:qFormat/>
    <w:rsid w:val="006836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B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AD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AD6"/>
  </w:style>
  <w:style w:type="paragraph" w:styleId="Footer">
    <w:name w:val="footer"/>
    <w:basedOn w:val="Normal"/>
    <w:link w:val="FooterChar"/>
    <w:uiPriority w:val="99"/>
    <w:unhideWhenUsed/>
    <w:rsid w:val="00456AD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AD6"/>
  </w:style>
  <w:style w:type="paragraph" w:styleId="FootnoteText">
    <w:name w:val="footnote text"/>
    <w:basedOn w:val="Normal"/>
    <w:link w:val="FootnoteTextChar"/>
    <w:uiPriority w:val="99"/>
    <w:semiHidden/>
    <w:unhideWhenUsed/>
    <w:rsid w:val="00E9023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023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023C"/>
    <w:rPr>
      <w:vertAlign w:val="superscript"/>
    </w:rPr>
  </w:style>
  <w:style w:type="paragraph" w:styleId="ListParagraph">
    <w:name w:val="List Paragraph"/>
    <w:basedOn w:val="Normal"/>
    <w:uiPriority w:val="34"/>
    <w:qFormat/>
    <w:rsid w:val="00683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3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8</cp:revision>
  <cp:lastPrinted>2015-12-03T21:02:00Z</cp:lastPrinted>
  <dcterms:created xsi:type="dcterms:W3CDTF">2015-09-17T01:39:00Z</dcterms:created>
  <dcterms:modified xsi:type="dcterms:W3CDTF">2015-12-03T21:03:00Z</dcterms:modified>
</cp:coreProperties>
</file>