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BA" w:rsidRDefault="003F79D7" w:rsidP="002D74BA">
      <w:pPr>
        <w:bidi/>
        <w:rPr>
          <w:sz w:val="24"/>
          <w:szCs w:val="24"/>
          <w:rtl/>
        </w:rPr>
      </w:pPr>
      <w:r w:rsidRPr="002D74BA">
        <w:rPr>
          <w:sz w:val="36"/>
          <w:szCs w:val="36"/>
          <w:rtl/>
        </w:rPr>
        <w:t>אין</w:t>
      </w:r>
      <w:r>
        <w:rPr>
          <w:rFonts w:hint="cs"/>
          <w:rtl/>
        </w:rPr>
        <w:t xml:space="preserve"> </w:t>
      </w:r>
      <w:r w:rsidRPr="002D74BA">
        <w:rPr>
          <w:sz w:val="32"/>
          <w:szCs w:val="32"/>
          <w:rtl/>
        </w:rPr>
        <w:t>ערער פחות משנים</w:t>
      </w:r>
      <w:r w:rsidR="002D74BA">
        <w:rPr>
          <w:rFonts w:hint="cs"/>
          <w:sz w:val="32"/>
          <w:szCs w:val="32"/>
          <w:rtl/>
        </w:rPr>
        <w:t xml:space="preserve"> </w:t>
      </w:r>
      <w:r w:rsidR="002D74BA">
        <w:rPr>
          <w:sz w:val="32"/>
          <w:szCs w:val="32"/>
          <w:rtl/>
        </w:rPr>
        <w:t>–</w:t>
      </w:r>
      <w:r w:rsidR="002D74BA">
        <w:rPr>
          <w:rFonts w:hint="cs"/>
          <w:sz w:val="32"/>
          <w:szCs w:val="32"/>
          <w:rtl/>
        </w:rPr>
        <w:t xml:space="preserve"> </w:t>
      </w:r>
      <w:r w:rsidR="002D74BA">
        <w:rPr>
          <w:sz w:val="32"/>
          <w:szCs w:val="32"/>
        </w:rPr>
        <w:t xml:space="preserve">There is no contesting </w:t>
      </w:r>
      <w:r w:rsidR="002D74BA">
        <w:rPr>
          <w:b w:val="0"/>
          <w:bCs w:val="0"/>
          <w:sz w:val="32"/>
          <w:szCs w:val="32"/>
        </w:rPr>
        <w:t xml:space="preserve">with </w:t>
      </w:r>
      <w:r w:rsidR="002D74BA">
        <w:rPr>
          <w:sz w:val="32"/>
          <w:szCs w:val="32"/>
        </w:rPr>
        <w:t xml:space="preserve">less than two      </w:t>
      </w:r>
      <w:r w:rsidR="002D74BA">
        <w:rPr>
          <w:sz w:val="16"/>
          <w:szCs w:val="16"/>
        </w:rPr>
        <w:t xml:space="preserve">           </w:t>
      </w:r>
      <w:r w:rsidR="002D74BA" w:rsidRPr="002D74BA">
        <w:rPr>
          <w:sz w:val="24"/>
          <w:szCs w:val="24"/>
        </w:rPr>
        <w:t xml:space="preserve">       </w:t>
      </w:r>
    </w:p>
    <w:p w:rsidR="002D74BA" w:rsidRPr="002D74BA" w:rsidRDefault="002D74BA" w:rsidP="002D74B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2D74B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D74BA" w:rsidRPr="002D74BA" w:rsidRDefault="002D74BA" w:rsidP="002D74B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stated that there can be no </w:t>
      </w:r>
      <w:r>
        <w:rPr>
          <w:rFonts w:hint="cs"/>
          <w:b w:val="0"/>
          <w:bCs w:val="0"/>
          <w:rtl/>
        </w:rPr>
        <w:t>ערער</w:t>
      </w:r>
      <w:r>
        <w:rPr>
          <w:b w:val="0"/>
          <w:bCs w:val="0"/>
        </w:rPr>
        <w:t xml:space="preserve"> unless two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are contesting. Seemingly this would exclude any and all types of contesting (even a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);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disabuses us of this notion.</w:t>
      </w:r>
    </w:p>
    <w:p w:rsidR="002D74BA" w:rsidRPr="002D74BA" w:rsidRDefault="002D74BA" w:rsidP="002D74BA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3F79D7" w:rsidRPr="002D74BA" w:rsidRDefault="003F79D7" w:rsidP="009448B6">
      <w:pPr>
        <w:bidi/>
        <w:rPr>
          <w:rFonts w:cs="David"/>
        </w:rPr>
      </w:pPr>
      <w:r w:rsidRPr="002D74BA">
        <w:rPr>
          <w:rFonts w:cs="David"/>
          <w:rtl/>
        </w:rPr>
        <w:t>לאפוקי חד דלא הוי ערער אבל קול נמי פוסל בתחלה</w:t>
      </w:r>
      <w:r w:rsidR="002D74BA" w:rsidRPr="002D74BA">
        <w:rPr>
          <w:rStyle w:val="FootnoteReference"/>
          <w:rFonts w:cs="David"/>
          <w:rtl/>
        </w:rPr>
        <w:footnoteReference w:id="1"/>
      </w:r>
      <w:r w:rsidRPr="002D74BA">
        <w:rPr>
          <w:rFonts w:cs="David"/>
          <w:rtl/>
        </w:rPr>
        <w:t xml:space="preserve"> בתרומה קודם שבא העד המכשיר</w:t>
      </w:r>
      <w:r w:rsidR="009448B6">
        <w:rPr>
          <w:rFonts w:cs="David" w:hint="cs"/>
          <w:rtl/>
        </w:rPr>
        <w:t>:</w:t>
      </w:r>
      <w:r w:rsidR="002D74BA" w:rsidRPr="002D74BA">
        <w:rPr>
          <w:rStyle w:val="FootnoteReference"/>
          <w:rFonts w:cs="David"/>
          <w:rtl/>
        </w:rPr>
        <w:footnoteReference w:id="2"/>
      </w:r>
      <w:bookmarkStart w:id="0" w:name="_GoBack"/>
      <w:bookmarkEnd w:id="0"/>
    </w:p>
    <w:p w:rsidR="003D4453" w:rsidRPr="002D74BA" w:rsidRDefault="002D74BA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The term </w:t>
      </w:r>
      <w:r>
        <w:rPr>
          <w:rFonts w:hint="cs"/>
          <w:b w:val="0"/>
          <w:bCs w:val="0"/>
          <w:rtl/>
        </w:rPr>
        <w:t>אין ערער פחות מב'</w:t>
      </w:r>
      <w:r>
        <w:rPr>
          <w:b w:val="0"/>
          <w:bCs w:val="0"/>
        </w:rPr>
        <w:t xml:space="preserve"> </w:t>
      </w:r>
      <w:r w:rsidRPr="002D74BA">
        <w:t xml:space="preserve">is </w:t>
      </w:r>
      <w:r>
        <w:rPr>
          <w:b w:val="0"/>
          <w:bCs w:val="0"/>
        </w:rPr>
        <w:t xml:space="preserve">only </w:t>
      </w:r>
      <w:r w:rsidRPr="002D74BA">
        <w:t>to exclude</w:t>
      </w:r>
      <w:r>
        <w:t xml:space="preserve"> </w:t>
      </w:r>
      <w:r>
        <w:rPr>
          <w:b w:val="0"/>
          <w:bCs w:val="0"/>
        </w:rPr>
        <w:t xml:space="preserve">an </w:t>
      </w:r>
      <w:r>
        <w:rPr>
          <w:rFonts w:hint="cs"/>
          <w:b w:val="0"/>
          <w:bCs w:val="0"/>
          <w:rtl/>
        </w:rPr>
        <w:t>ערער</w:t>
      </w:r>
      <w:r>
        <w:rPr>
          <w:b w:val="0"/>
          <w:bCs w:val="0"/>
        </w:rPr>
        <w:t xml:space="preserve"> of </w:t>
      </w:r>
      <w:r>
        <w:t xml:space="preserve">one; that it is not </w:t>
      </w:r>
      <w:r>
        <w:rPr>
          <w:b w:val="0"/>
          <w:bCs w:val="0"/>
        </w:rPr>
        <w:t xml:space="preserve">considered an </w:t>
      </w:r>
      <w:r>
        <w:rPr>
          <w:rFonts w:hint="cs"/>
          <w:rtl/>
        </w:rPr>
        <w:t>ערער</w:t>
      </w:r>
      <w:r>
        <w:t xml:space="preserve">; however a rumor can also initially invalidate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 xml:space="preserve">from </w:t>
      </w:r>
      <w:r>
        <w:rPr>
          <w:b w:val="0"/>
          <w:bCs w:val="0"/>
        </w:rPr>
        <w:t xml:space="preserve">eating </w:t>
      </w:r>
      <w:r>
        <w:rPr>
          <w:rFonts w:hint="cs"/>
          <w:rtl/>
        </w:rPr>
        <w:t>תרומה</w:t>
      </w:r>
      <w:r>
        <w:t xml:space="preserve"> </w:t>
      </w:r>
      <w:r>
        <w:rPr>
          <w:b w:val="0"/>
          <w:bCs w:val="0"/>
        </w:rPr>
        <w:t xml:space="preserve">if the rumor began </w:t>
      </w:r>
      <w:r>
        <w:t xml:space="preserve">before the qualifying </w:t>
      </w:r>
      <w:r>
        <w:rPr>
          <w:rFonts w:hint="cs"/>
          <w:rtl/>
        </w:rPr>
        <w:t>עד</w:t>
      </w:r>
      <w:r>
        <w:t xml:space="preserve"> came </w:t>
      </w:r>
      <w:r w:rsidRPr="002D74BA">
        <w:rPr>
          <w:b w:val="0"/>
          <w:bCs w:val="0"/>
          <w:sz w:val="24"/>
          <w:szCs w:val="24"/>
        </w:rPr>
        <w:t xml:space="preserve">and testified that he is a </w:t>
      </w:r>
      <w:r w:rsidRPr="002D74BA">
        <w:rPr>
          <w:rFonts w:hint="cs"/>
          <w:b w:val="0"/>
          <w:bCs w:val="0"/>
          <w:sz w:val="24"/>
          <w:szCs w:val="24"/>
          <w:rtl/>
        </w:rPr>
        <w:t>כהן כשר</w:t>
      </w:r>
      <w:r w:rsidRPr="002D74BA">
        <w:rPr>
          <w:b w:val="0"/>
          <w:bCs w:val="0"/>
          <w:sz w:val="24"/>
          <w:szCs w:val="24"/>
        </w:rPr>
        <w:t>.</w:t>
      </w:r>
    </w:p>
    <w:p w:rsidR="002D74BA" w:rsidRPr="002D74BA" w:rsidRDefault="002D74BA">
      <w:pPr>
        <w:rPr>
          <w:sz w:val="24"/>
          <w:szCs w:val="24"/>
        </w:rPr>
      </w:pPr>
    </w:p>
    <w:p w:rsidR="002D74BA" w:rsidRPr="002D74BA" w:rsidRDefault="002D74BA">
      <w:pPr>
        <w:rPr>
          <w:rFonts w:ascii="Copperplate Gothic Bold" w:hAnsi="Copperplate Gothic Bold"/>
          <w:b w:val="0"/>
          <w:bCs w:val="0"/>
          <w:u w:val="double"/>
        </w:rPr>
      </w:pPr>
      <w:r w:rsidRPr="002D74B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2D74BA" w:rsidRDefault="002D74BA">
      <w:pPr>
        <w:rPr>
          <w:b w:val="0"/>
          <w:bCs w:val="0"/>
        </w:rPr>
      </w:pP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פוסל</w:t>
      </w:r>
      <w:r>
        <w:rPr>
          <w:b w:val="0"/>
          <w:bCs w:val="0"/>
        </w:rPr>
        <w:t xml:space="preserve"> (even) when a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cannot.</w:t>
      </w:r>
    </w:p>
    <w:p w:rsidR="002D74BA" w:rsidRPr="002D74BA" w:rsidRDefault="002D74BA">
      <w:pPr>
        <w:rPr>
          <w:b w:val="0"/>
          <w:bCs w:val="0"/>
          <w:sz w:val="24"/>
          <w:szCs w:val="24"/>
        </w:rPr>
      </w:pPr>
    </w:p>
    <w:p w:rsidR="002D74BA" w:rsidRPr="002D74BA" w:rsidRDefault="002D74BA">
      <w:pPr>
        <w:rPr>
          <w:rFonts w:ascii="Copperplate Gothic Bold" w:hAnsi="Copperplate Gothic Bold"/>
          <w:b w:val="0"/>
          <w:bCs w:val="0"/>
          <w:u w:val="double"/>
        </w:rPr>
      </w:pPr>
      <w:r w:rsidRPr="002D74B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D74BA" w:rsidRPr="002D74BA" w:rsidRDefault="002D74BA" w:rsidP="002D74B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can be </w:t>
      </w:r>
      <w:r>
        <w:rPr>
          <w:rFonts w:hint="cs"/>
          <w:b w:val="0"/>
          <w:bCs w:val="0"/>
          <w:rtl/>
        </w:rPr>
        <w:t>פוסל</w:t>
      </w:r>
      <w:r>
        <w:rPr>
          <w:b w:val="0"/>
          <w:bCs w:val="0"/>
        </w:rPr>
        <w:t xml:space="preserve"> against a </w:t>
      </w:r>
      <w:r>
        <w:rPr>
          <w:rFonts w:hint="cs"/>
          <w:b w:val="0"/>
          <w:bCs w:val="0"/>
          <w:rtl/>
        </w:rPr>
        <w:t>חזקת כשרות</w:t>
      </w:r>
      <w:r>
        <w:rPr>
          <w:b w:val="0"/>
          <w:bCs w:val="0"/>
        </w:rPr>
        <w:t xml:space="preserve"> and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cannot (indicating that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is stronger than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Once there is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ע"א המכשיר</w:t>
      </w:r>
      <w:r>
        <w:rPr>
          <w:b w:val="0"/>
          <w:bCs w:val="0"/>
        </w:rPr>
        <w:t xml:space="preserve">, a subsequent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 xml:space="preserve"> is not effective to be </w:t>
      </w:r>
      <w:r>
        <w:rPr>
          <w:rFonts w:hint="cs"/>
          <w:b w:val="0"/>
          <w:bCs w:val="0"/>
          <w:rtl/>
        </w:rPr>
        <w:t>פוסל</w:t>
      </w:r>
      <w:r>
        <w:rPr>
          <w:b w:val="0"/>
          <w:bCs w:val="0"/>
        </w:rPr>
        <w:t xml:space="preserve"> (indicating that 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is stronger than a </w:t>
      </w:r>
      <w:r>
        <w:rPr>
          <w:rFonts w:hint="cs"/>
          <w:b w:val="0"/>
          <w:bCs w:val="0"/>
          <w:rtl/>
        </w:rPr>
        <w:t>קול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4"/>
      </w:r>
      <w:r>
        <w:rPr>
          <w:b w:val="0"/>
          <w:bCs w:val="0"/>
        </w:rPr>
        <w:t xml:space="preserve"> How can we reconcile this?</w:t>
      </w:r>
    </w:p>
    <w:sectPr w:rsidR="002D74BA" w:rsidRPr="002D74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845" w:rsidRDefault="006D7845" w:rsidP="002D74BA">
      <w:pPr>
        <w:spacing w:line="240" w:lineRule="auto"/>
      </w:pPr>
      <w:r>
        <w:separator/>
      </w:r>
    </w:p>
  </w:endnote>
  <w:endnote w:type="continuationSeparator" w:id="0">
    <w:p w:rsidR="006D7845" w:rsidRDefault="006D7845" w:rsidP="002D7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4BA" w:rsidRPr="002D74BA" w:rsidRDefault="002D74BA" w:rsidP="002D74BA">
    <w:pPr>
      <w:pStyle w:val="Footer"/>
      <w:jc w:val="center"/>
      <w:rPr>
        <w:b w:val="0"/>
        <w:bCs w:val="0"/>
        <w:sz w:val="16"/>
        <w:szCs w:val="16"/>
      </w:rPr>
    </w:pPr>
    <w:r w:rsidRPr="002D74BA">
      <w:rPr>
        <w:b w:val="0"/>
        <w:bCs w:val="0"/>
        <w:sz w:val="16"/>
        <w:szCs w:val="16"/>
      </w:rPr>
      <w:t>TosfosInEnglish.com</w:t>
    </w:r>
  </w:p>
  <w:p w:rsidR="002D74BA" w:rsidRPr="002D74BA" w:rsidRDefault="002D74BA">
    <w:pPr>
      <w:pStyle w:val="Footer"/>
      <w:rPr>
        <w:b w:val="0"/>
        <w:bCs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845" w:rsidRDefault="006D7845" w:rsidP="002D74BA">
      <w:pPr>
        <w:spacing w:line="240" w:lineRule="auto"/>
      </w:pPr>
      <w:r>
        <w:separator/>
      </w:r>
    </w:p>
  </w:footnote>
  <w:footnote w:type="continuationSeparator" w:id="0">
    <w:p w:rsidR="006D7845" w:rsidRDefault="006D7845" w:rsidP="002D74BA">
      <w:pPr>
        <w:spacing w:line="240" w:lineRule="auto"/>
      </w:pPr>
      <w:r>
        <w:continuationSeparator/>
      </w:r>
    </w:p>
  </w:footnote>
  <w:footnote w:id="1">
    <w:p w:rsidR="002D74BA" w:rsidRPr="002D74BA" w:rsidRDefault="002D74BA" w:rsidP="002D74BA">
      <w:pPr>
        <w:pStyle w:val="FootnoteText"/>
        <w:spacing w:line="264" w:lineRule="auto"/>
        <w:ind w:left="720" w:hanging="720"/>
        <w:rPr>
          <w:b w:val="0"/>
          <w:bCs w:val="0"/>
        </w:rPr>
      </w:pPr>
      <w:r w:rsidRPr="002D74BA">
        <w:rPr>
          <w:rStyle w:val="FootnoteReference"/>
          <w:b w:val="0"/>
          <w:bCs w:val="0"/>
        </w:rPr>
        <w:footnoteRef/>
      </w:r>
      <w:r w:rsidRPr="002D74BA">
        <w:rPr>
          <w:b w:val="0"/>
          <w:bCs w:val="0"/>
        </w:rPr>
        <w:t xml:space="preserve"> The </w:t>
      </w:r>
      <w:r w:rsidRPr="002D74BA">
        <w:rPr>
          <w:rFonts w:hint="cs"/>
          <w:b w:val="0"/>
          <w:bCs w:val="0"/>
          <w:rtl/>
        </w:rPr>
        <w:t>קול</w:t>
      </w:r>
      <w:r w:rsidRPr="002D74BA">
        <w:rPr>
          <w:b w:val="0"/>
          <w:bCs w:val="0"/>
        </w:rPr>
        <w:t xml:space="preserve"> is </w:t>
      </w:r>
      <w:r w:rsidRPr="002D74BA">
        <w:rPr>
          <w:rFonts w:hint="cs"/>
          <w:b w:val="0"/>
          <w:bCs w:val="0"/>
          <w:rtl/>
        </w:rPr>
        <w:t>פוסל</w:t>
      </w:r>
      <w:r w:rsidRPr="002D74BA">
        <w:rPr>
          <w:b w:val="0"/>
          <w:bCs w:val="0"/>
        </w:rPr>
        <w:t xml:space="preserve"> even if there is a </w:t>
      </w:r>
      <w:r w:rsidRPr="002D74BA">
        <w:rPr>
          <w:rFonts w:hint="cs"/>
          <w:b w:val="0"/>
          <w:bCs w:val="0"/>
          <w:rtl/>
        </w:rPr>
        <w:t>חזקת כשרות</w:t>
      </w:r>
      <w:r w:rsidRPr="002D74BA">
        <w:rPr>
          <w:b w:val="0"/>
          <w:bCs w:val="0"/>
        </w:rPr>
        <w:t xml:space="preserve"> (as opposed to </w:t>
      </w:r>
      <w:proofErr w:type="gramStart"/>
      <w:r w:rsidRPr="002D74BA">
        <w:rPr>
          <w:b w:val="0"/>
          <w:bCs w:val="0"/>
        </w:rPr>
        <w:t>an</w:t>
      </w:r>
      <w:proofErr w:type="gramEnd"/>
      <w:r w:rsidRPr="002D74BA">
        <w:rPr>
          <w:b w:val="0"/>
          <w:bCs w:val="0"/>
        </w:rPr>
        <w:t xml:space="preserve"> </w:t>
      </w:r>
      <w:r w:rsidRPr="002D74BA">
        <w:rPr>
          <w:rFonts w:hint="cs"/>
          <w:b w:val="0"/>
          <w:bCs w:val="0"/>
          <w:rtl/>
        </w:rPr>
        <w:t>ע"א</w:t>
      </w:r>
      <w:r w:rsidRPr="002D74BA">
        <w:rPr>
          <w:b w:val="0"/>
          <w:bCs w:val="0"/>
        </w:rPr>
        <w:t xml:space="preserve"> who cannot be </w:t>
      </w:r>
      <w:r w:rsidRPr="002D74BA">
        <w:rPr>
          <w:rFonts w:hint="cs"/>
          <w:b w:val="0"/>
          <w:bCs w:val="0"/>
          <w:rtl/>
        </w:rPr>
        <w:t>פוסל</w:t>
      </w:r>
      <w:r w:rsidRPr="002D74BA">
        <w:rPr>
          <w:b w:val="0"/>
          <w:bCs w:val="0"/>
        </w:rPr>
        <w:t>).</w:t>
      </w:r>
    </w:p>
  </w:footnote>
  <w:footnote w:id="2">
    <w:p w:rsidR="002D74BA" w:rsidRPr="002D74BA" w:rsidRDefault="002D74BA" w:rsidP="002D74BA">
      <w:pPr>
        <w:pStyle w:val="FootnoteText"/>
        <w:spacing w:line="264" w:lineRule="auto"/>
        <w:rPr>
          <w:b w:val="0"/>
          <w:bCs w:val="0"/>
        </w:rPr>
      </w:pPr>
      <w:r w:rsidRPr="002D74BA">
        <w:rPr>
          <w:rStyle w:val="FootnoteReference"/>
          <w:b w:val="0"/>
          <w:bCs w:val="0"/>
        </w:rPr>
        <w:footnoteRef/>
      </w:r>
      <w:r w:rsidRPr="002D74BA">
        <w:rPr>
          <w:b w:val="0"/>
          <w:bCs w:val="0"/>
        </w:rPr>
        <w:t xml:space="preserve"> Once there is </w:t>
      </w:r>
      <w:proofErr w:type="gramStart"/>
      <w:r w:rsidRPr="002D74BA">
        <w:rPr>
          <w:b w:val="0"/>
          <w:bCs w:val="0"/>
        </w:rPr>
        <w:t>an</w:t>
      </w:r>
      <w:proofErr w:type="gramEnd"/>
      <w:r w:rsidRPr="002D74BA">
        <w:rPr>
          <w:b w:val="0"/>
          <w:bCs w:val="0"/>
        </w:rPr>
        <w:t xml:space="preserve"> </w:t>
      </w:r>
      <w:r w:rsidRPr="002D74BA">
        <w:rPr>
          <w:rFonts w:hint="cs"/>
          <w:b w:val="0"/>
          <w:bCs w:val="0"/>
          <w:rtl/>
        </w:rPr>
        <w:t>עד המכשיר</w:t>
      </w:r>
      <w:r w:rsidRPr="002D74BA">
        <w:rPr>
          <w:b w:val="0"/>
          <w:bCs w:val="0"/>
        </w:rPr>
        <w:t xml:space="preserve"> initially then the </w:t>
      </w:r>
      <w:r w:rsidRPr="002D74BA">
        <w:rPr>
          <w:rFonts w:hint="cs"/>
          <w:b w:val="0"/>
          <w:bCs w:val="0"/>
          <w:rtl/>
        </w:rPr>
        <w:t>קול</w:t>
      </w:r>
      <w:r w:rsidRPr="002D74BA">
        <w:rPr>
          <w:b w:val="0"/>
          <w:bCs w:val="0"/>
        </w:rPr>
        <w:t xml:space="preserve"> cannot be </w:t>
      </w:r>
      <w:r w:rsidRPr="002D74BA">
        <w:rPr>
          <w:rFonts w:hint="cs"/>
          <w:b w:val="0"/>
          <w:bCs w:val="0"/>
          <w:rtl/>
        </w:rPr>
        <w:t>פוסל</w:t>
      </w:r>
      <w:r w:rsidRPr="002D74BA">
        <w:rPr>
          <w:b w:val="0"/>
          <w:bCs w:val="0"/>
        </w:rPr>
        <w:t xml:space="preserve"> (even if there is no </w:t>
      </w:r>
      <w:r w:rsidRPr="002D74BA">
        <w:rPr>
          <w:rFonts w:hint="cs"/>
          <w:b w:val="0"/>
          <w:bCs w:val="0"/>
          <w:rtl/>
        </w:rPr>
        <w:t>חזקת כשרות</w:t>
      </w:r>
      <w:r w:rsidRPr="002D74BA">
        <w:rPr>
          <w:b w:val="0"/>
          <w:bCs w:val="0"/>
        </w:rPr>
        <w:t xml:space="preserve">). </w:t>
      </w:r>
      <w:proofErr w:type="gramStart"/>
      <w:r w:rsidRPr="002D74BA">
        <w:rPr>
          <w:b w:val="0"/>
          <w:bCs w:val="0"/>
        </w:rPr>
        <w:t>See ‘Thinking it over’.</w:t>
      </w:r>
      <w:proofErr w:type="gramEnd"/>
    </w:p>
  </w:footnote>
  <w:footnote w:id="3">
    <w:p w:rsidR="002D74BA" w:rsidRPr="002D74BA" w:rsidRDefault="002D74BA" w:rsidP="002D74BA">
      <w:pPr>
        <w:pStyle w:val="FootnoteText"/>
        <w:spacing w:line="264" w:lineRule="auto"/>
        <w:rPr>
          <w:b w:val="0"/>
          <w:bCs w:val="0"/>
        </w:rPr>
      </w:pPr>
      <w:r w:rsidRPr="002D74BA">
        <w:rPr>
          <w:rStyle w:val="FootnoteReference"/>
          <w:b w:val="0"/>
          <w:bCs w:val="0"/>
        </w:rPr>
        <w:footnoteRef/>
      </w:r>
      <w:r w:rsidRPr="002D74BA">
        <w:rPr>
          <w:b w:val="0"/>
          <w:bCs w:val="0"/>
        </w:rPr>
        <w:t xml:space="preserve"> </w:t>
      </w:r>
      <w:proofErr w:type="gramStart"/>
      <w:r w:rsidRPr="002D74BA">
        <w:rPr>
          <w:b w:val="0"/>
          <w:bCs w:val="0"/>
        </w:rPr>
        <w:t xml:space="preserve">See previous </w:t>
      </w:r>
      <w:r w:rsidRPr="002D74BA">
        <w:rPr>
          <w:rFonts w:hint="cs"/>
          <w:b w:val="0"/>
          <w:bCs w:val="0"/>
          <w:rtl/>
        </w:rPr>
        <w:t>תוס' ד"ה והאמר</w:t>
      </w:r>
      <w:r w:rsidRPr="002D74BA">
        <w:rPr>
          <w:b w:val="0"/>
          <w:bCs w:val="0"/>
        </w:rPr>
        <w:t xml:space="preserve"> (at the end).</w:t>
      </w:r>
      <w:proofErr w:type="gramEnd"/>
    </w:p>
  </w:footnote>
  <w:footnote w:id="4">
    <w:p w:rsidR="002D74BA" w:rsidRPr="002D74BA" w:rsidRDefault="002D74BA" w:rsidP="002D74BA">
      <w:pPr>
        <w:pStyle w:val="FootnoteText"/>
        <w:spacing w:line="264" w:lineRule="auto"/>
        <w:rPr>
          <w:b w:val="0"/>
          <w:bCs w:val="0"/>
        </w:rPr>
      </w:pPr>
      <w:r w:rsidRPr="002D74BA">
        <w:rPr>
          <w:rStyle w:val="FootnoteReference"/>
          <w:b w:val="0"/>
          <w:bCs w:val="0"/>
        </w:rPr>
        <w:footnoteRef/>
      </w:r>
      <w:r w:rsidRPr="002D74BA">
        <w:rPr>
          <w:b w:val="0"/>
          <w:bCs w:val="0"/>
        </w:rPr>
        <w:t xml:space="preserve"> See footnote # 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4BA" w:rsidRPr="002D74BA" w:rsidRDefault="002D74BA" w:rsidP="002D74B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כו,א תוס' ד"ה אין ערער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D7"/>
    <w:rsid w:val="002238D2"/>
    <w:rsid w:val="002D74BA"/>
    <w:rsid w:val="003D4453"/>
    <w:rsid w:val="003F79D7"/>
    <w:rsid w:val="006D7845"/>
    <w:rsid w:val="009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4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4BA"/>
  </w:style>
  <w:style w:type="paragraph" w:styleId="Footer">
    <w:name w:val="footer"/>
    <w:basedOn w:val="Normal"/>
    <w:link w:val="FooterChar"/>
    <w:uiPriority w:val="99"/>
    <w:unhideWhenUsed/>
    <w:rsid w:val="002D74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4BA"/>
  </w:style>
  <w:style w:type="paragraph" w:styleId="BalloonText">
    <w:name w:val="Balloon Text"/>
    <w:basedOn w:val="Normal"/>
    <w:link w:val="BalloonTextChar"/>
    <w:uiPriority w:val="99"/>
    <w:semiHidden/>
    <w:unhideWhenUsed/>
    <w:rsid w:val="002D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B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74B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74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74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4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4BA"/>
  </w:style>
  <w:style w:type="paragraph" w:styleId="Footer">
    <w:name w:val="footer"/>
    <w:basedOn w:val="Normal"/>
    <w:link w:val="FooterChar"/>
    <w:uiPriority w:val="99"/>
    <w:unhideWhenUsed/>
    <w:rsid w:val="002D74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4BA"/>
  </w:style>
  <w:style w:type="paragraph" w:styleId="BalloonText">
    <w:name w:val="Balloon Text"/>
    <w:basedOn w:val="Normal"/>
    <w:link w:val="BalloonTextChar"/>
    <w:uiPriority w:val="99"/>
    <w:semiHidden/>
    <w:unhideWhenUsed/>
    <w:rsid w:val="002D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B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74B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74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7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cp:lastPrinted>2015-10-07T21:20:00Z</cp:lastPrinted>
  <dcterms:created xsi:type="dcterms:W3CDTF">2015-10-07T20:44:00Z</dcterms:created>
  <dcterms:modified xsi:type="dcterms:W3CDTF">2015-12-04T01:33:00Z</dcterms:modified>
</cp:coreProperties>
</file>