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03" w:rsidRPr="005D4500" w:rsidRDefault="00017347" w:rsidP="00AD4931">
      <w:pPr>
        <w:bidi/>
        <w:rPr>
          <w:b w:val="0"/>
          <w:bCs w:val="0"/>
          <w:sz w:val="20"/>
          <w:szCs w:val="20"/>
        </w:rPr>
      </w:pPr>
      <w:r w:rsidRPr="00D05103">
        <w:rPr>
          <w:sz w:val="36"/>
          <w:szCs w:val="36"/>
          <w:rtl/>
        </w:rPr>
        <w:t>תרתי</w:t>
      </w:r>
      <w:r w:rsidR="00D05103">
        <w:rPr>
          <w:rFonts w:hint="cs"/>
          <w:rtl/>
        </w:rPr>
        <w:t xml:space="preserve"> </w:t>
      </w:r>
      <w:r w:rsidRPr="00D05103">
        <w:rPr>
          <w:sz w:val="32"/>
          <w:szCs w:val="32"/>
          <w:rtl/>
        </w:rPr>
        <w:t>לא עבדי</w:t>
      </w:r>
      <w:r w:rsidR="00D05103">
        <w:rPr>
          <w:rFonts w:hint="cs"/>
          <w:sz w:val="32"/>
          <w:szCs w:val="32"/>
          <w:rtl/>
        </w:rPr>
        <w:t xml:space="preserve"> </w:t>
      </w:r>
      <w:r w:rsidR="00D05103">
        <w:rPr>
          <w:sz w:val="32"/>
          <w:szCs w:val="32"/>
          <w:rtl/>
        </w:rPr>
        <w:t>–</w:t>
      </w:r>
      <w:r w:rsidR="00D05103">
        <w:rPr>
          <w:rFonts w:hint="cs"/>
          <w:sz w:val="32"/>
          <w:szCs w:val="32"/>
          <w:rtl/>
        </w:rPr>
        <w:t xml:space="preserve"> </w:t>
      </w:r>
      <w:r w:rsidR="00D05103">
        <w:rPr>
          <w:sz w:val="32"/>
          <w:szCs w:val="32"/>
        </w:rPr>
        <w:t xml:space="preserve">They will not do two </w:t>
      </w:r>
      <w:r w:rsidR="00D05103">
        <w:rPr>
          <w:b w:val="0"/>
          <w:bCs w:val="0"/>
          <w:sz w:val="32"/>
          <w:szCs w:val="32"/>
        </w:rPr>
        <w:t xml:space="preserve">wrongs           </w:t>
      </w:r>
      <w:r w:rsidR="00AD4931">
        <w:rPr>
          <w:b w:val="0"/>
          <w:bCs w:val="0"/>
          <w:sz w:val="32"/>
          <w:szCs w:val="32"/>
        </w:rPr>
        <w:t xml:space="preserve">    </w:t>
      </w:r>
      <w:r w:rsidR="00AD4931">
        <w:rPr>
          <w:b w:val="0"/>
          <w:bCs w:val="0"/>
          <w:sz w:val="16"/>
          <w:szCs w:val="16"/>
        </w:rPr>
        <w:t xml:space="preserve">       </w:t>
      </w:r>
      <w:r w:rsidR="00D05103">
        <w:rPr>
          <w:b w:val="0"/>
          <w:bCs w:val="0"/>
          <w:sz w:val="32"/>
          <w:szCs w:val="32"/>
        </w:rPr>
        <w:t xml:space="preserve">                           </w:t>
      </w:r>
      <w:r w:rsidR="00D05103" w:rsidRPr="005D4500">
        <w:rPr>
          <w:b w:val="0"/>
          <w:bCs w:val="0"/>
          <w:sz w:val="24"/>
          <w:szCs w:val="24"/>
        </w:rPr>
        <w:t xml:space="preserve"> </w:t>
      </w:r>
    </w:p>
    <w:p w:rsidR="00D05103" w:rsidRPr="00D05103" w:rsidRDefault="00D05103" w:rsidP="00D05103">
      <w:pPr>
        <w:rPr>
          <w:rFonts w:ascii="Copperplate Gothic Bold" w:hAnsi="Copperplate Gothic Bold"/>
          <w:b w:val="0"/>
          <w:bCs w:val="0"/>
          <w:u w:val="double"/>
          <w:rtl/>
        </w:rPr>
      </w:pPr>
      <w:r w:rsidRPr="00D05103">
        <w:rPr>
          <w:rFonts w:ascii="Copperplate Gothic Bold" w:hAnsi="Copperplate Gothic Bold"/>
          <w:b w:val="0"/>
          <w:bCs w:val="0"/>
          <w:u w:val="double"/>
        </w:rPr>
        <w:t>Overview</w:t>
      </w:r>
    </w:p>
    <w:p w:rsidR="00D05103" w:rsidRPr="00D05103" w:rsidRDefault="008C3AD2" w:rsidP="00FB5FDA">
      <w:pPr>
        <w:rPr>
          <w:b w:val="0"/>
          <w:bCs w:val="0"/>
        </w:rPr>
      </w:pPr>
      <w:r>
        <w:rPr>
          <w:rFonts w:hint="cs"/>
          <w:b w:val="0"/>
          <w:bCs w:val="0"/>
          <w:rtl/>
        </w:rPr>
        <w:t>רב אשי</w:t>
      </w:r>
      <w:r>
        <w:rPr>
          <w:b w:val="0"/>
          <w:bCs w:val="0"/>
        </w:rPr>
        <w:t xml:space="preserve"> resolved the contradiction between our </w:t>
      </w:r>
      <w:r>
        <w:rPr>
          <w:rFonts w:hint="cs"/>
          <w:b w:val="0"/>
          <w:bCs w:val="0"/>
          <w:rtl/>
        </w:rPr>
        <w:t>משנה</w:t>
      </w:r>
      <w:r>
        <w:rPr>
          <w:b w:val="0"/>
          <w:bCs w:val="0"/>
        </w:rPr>
        <w:t xml:space="preserve"> where her </w:t>
      </w:r>
      <w:r>
        <w:rPr>
          <w:rFonts w:hint="cs"/>
          <w:b w:val="0"/>
          <w:bCs w:val="0"/>
          <w:rtl/>
        </w:rPr>
        <w:t>שפחה</w:t>
      </w:r>
      <w:r>
        <w:rPr>
          <w:b w:val="0"/>
          <w:bCs w:val="0"/>
        </w:rPr>
        <w:t xml:space="preserve"> is believed that she was not defiled, and the </w:t>
      </w:r>
      <w:r>
        <w:rPr>
          <w:rFonts w:hint="cs"/>
          <w:b w:val="0"/>
          <w:bCs w:val="0"/>
          <w:rtl/>
        </w:rPr>
        <w:t>משנה</w:t>
      </w:r>
      <w:r>
        <w:rPr>
          <w:b w:val="0"/>
          <w:bCs w:val="0"/>
        </w:rPr>
        <w:t xml:space="preserve"> of </w:t>
      </w:r>
      <w:r>
        <w:rPr>
          <w:rFonts w:hint="cs"/>
          <w:b w:val="0"/>
          <w:bCs w:val="0"/>
          <w:rtl/>
        </w:rPr>
        <w:t>לא תתייחד עמו</w:t>
      </w:r>
      <w:r>
        <w:rPr>
          <w:b w:val="0"/>
          <w:bCs w:val="0"/>
        </w:rPr>
        <w:t xml:space="preserve"> where her </w:t>
      </w:r>
      <w:r>
        <w:rPr>
          <w:rFonts w:hint="cs"/>
          <w:b w:val="0"/>
          <w:bCs w:val="0"/>
          <w:rtl/>
        </w:rPr>
        <w:t>שפחה</w:t>
      </w:r>
      <w:r>
        <w:rPr>
          <w:b w:val="0"/>
          <w:bCs w:val="0"/>
        </w:rPr>
        <w:t xml:space="preserve"> is not believed </w:t>
      </w:r>
      <w:r w:rsidR="005D4500">
        <w:rPr>
          <w:b w:val="0"/>
          <w:bCs w:val="0"/>
        </w:rPr>
        <w:t xml:space="preserve">(by her silence) </w:t>
      </w:r>
      <w:r>
        <w:rPr>
          <w:b w:val="0"/>
          <w:bCs w:val="0"/>
        </w:rPr>
        <w:t xml:space="preserve">that there was no intimacy, because a </w:t>
      </w:r>
      <w:r>
        <w:rPr>
          <w:rFonts w:hint="cs"/>
          <w:b w:val="0"/>
          <w:bCs w:val="0"/>
          <w:rtl/>
        </w:rPr>
        <w:t>שפחה</w:t>
      </w:r>
      <w:r>
        <w:rPr>
          <w:b w:val="0"/>
          <w:bCs w:val="0"/>
        </w:rPr>
        <w:t xml:space="preserve"> is generally quiet, so regarding </w:t>
      </w:r>
      <w:r>
        <w:rPr>
          <w:rFonts w:hint="cs"/>
          <w:b w:val="0"/>
          <w:bCs w:val="0"/>
          <w:rtl/>
        </w:rPr>
        <w:t>לא תתייחד</w:t>
      </w:r>
      <w:r>
        <w:rPr>
          <w:b w:val="0"/>
          <w:bCs w:val="0"/>
        </w:rPr>
        <w:t xml:space="preserve"> we are concerned that she will be quiet (even if something untoward happened), however</w:t>
      </w:r>
      <w:r w:rsidR="005D4500">
        <w:rPr>
          <w:b w:val="0"/>
          <w:bCs w:val="0"/>
        </w:rPr>
        <w:t xml:space="preserve"> by </w:t>
      </w:r>
      <w:r w:rsidR="005D4500">
        <w:rPr>
          <w:rFonts w:hint="cs"/>
          <w:b w:val="0"/>
          <w:bCs w:val="0"/>
          <w:rtl/>
        </w:rPr>
        <w:t>שבויה</w:t>
      </w:r>
      <w:r>
        <w:rPr>
          <w:b w:val="0"/>
          <w:bCs w:val="0"/>
        </w:rPr>
        <w:t xml:space="preserve"> when she states that </w:t>
      </w:r>
      <w:r>
        <w:rPr>
          <w:rFonts w:hint="cs"/>
          <w:b w:val="0"/>
          <w:bCs w:val="0"/>
          <w:rtl/>
        </w:rPr>
        <w:t>לא נטמאה</w:t>
      </w:r>
      <w:r>
        <w:rPr>
          <w:b w:val="0"/>
          <w:bCs w:val="0"/>
        </w:rPr>
        <w:t xml:space="preserve"> she would not openly lie. The </w:t>
      </w:r>
      <w:r>
        <w:rPr>
          <w:rFonts w:hint="cs"/>
          <w:b w:val="0"/>
          <w:bCs w:val="0"/>
          <w:rtl/>
        </w:rPr>
        <w:t>גמרא</w:t>
      </w:r>
      <w:r>
        <w:rPr>
          <w:b w:val="0"/>
          <w:bCs w:val="0"/>
        </w:rPr>
        <w:t xml:space="preserve"> supported this view of </w:t>
      </w:r>
      <w:r>
        <w:rPr>
          <w:rFonts w:hint="cs"/>
          <w:b w:val="0"/>
          <w:bCs w:val="0"/>
          <w:rtl/>
        </w:rPr>
        <w:t>ר"א</w:t>
      </w:r>
      <w:r>
        <w:rPr>
          <w:b w:val="0"/>
          <w:bCs w:val="0"/>
        </w:rPr>
        <w:t xml:space="preserve"> from the story of </w:t>
      </w:r>
      <w:r>
        <w:rPr>
          <w:rFonts w:hint="cs"/>
          <w:b w:val="0"/>
          <w:bCs w:val="0"/>
          <w:rtl/>
        </w:rPr>
        <w:t>מרי</w:t>
      </w:r>
      <w:r>
        <w:rPr>
          <w:b w:val="0"/>
          <w:bCs w:val="0"/>
        </w:rPr>
        <w:t xml:space="preserve"> where </w:t>
      </w:r>
      <w:r>
        <w:rPr>
          <w:rFonts w:hint="cs"/>
          <w:b w:val="0"/>
          <w:bCs w:val="0"/>
          <w:rtl/>
        </w:rPr>
        <w:t>רב חסדא</w:t>
      </w:r>
      <w:r>
        <w:rPr>
          <w:b w:val="0"/>
          <w:bCs w:val="0"/>
        </w:rPr>
        <w:t xml:space="preserve"> said that the </w:t>
      </w:r>
      <w:r>
        <w:rPr>
          <w:rFonts w:hint="cs"/>
          <w:b w:val="0"/>
          <w:bCs w:val="0"/>
          <w:rtl/>
        </w:rPr>
        <w:t>עדים</w:t>
      </w:r>
      <w:r>
        <w:rPr>
          <w:b w:val="0"/>
          <w:bCs w:val="0"/>
        </w:rPr>
        <w:t xml:space="preserve"> will not do two wrongs. </w:t>
      </w:r>
      <w:r w:rsidR="00FB5FDA">
        <w:rPr>
          <w:rFonts w:hint="cs"/>
          <w:b w:val="0"/>
          <w:bCs w:val="0"/>
          <w:rtl/>
        </w:rPr>
        <w:t>תוספות</w:t>
      </w:r>
      <w:r w:rsidR="00FB5FDA">
        <w:rPr>
          <w:b w:val="0"/>
          <w:bCs w:val="0"/>
        </w:rPr>
        <w:t xml:space="preserve"> explains the comparison.</w:t>
      </w:r>
      <w:r w:rsidR="00FB5FDA">
        <w:rPr>
          <w:rStyle w:val="FootnoteReference"/>
          <w:b w:val="0"/>
          <w:bCs w:val="0"/>
        </w:rPr>
        <w:footnoteReference w:id="1"/>
      </w:r>
      <w:r>
        <w:rPr>
          <w:b w:val="0"/>
          <w:bCs w:val="0"/>
        </w:rPr>
        <w:tab/>
      </w:r>
    </w:p>
    <w:p w:rsidR="00D05103" w:rsidRDefault="00D05103" w:rsidP="00D05103">
      <w:pPr>
        <w:bidi/>
        <w:rPr>
          <w:b w:val="0"/>
          <w:bCs w:val="0"/>
          <w:sz w:val="24"/>
          <w:szCs w:val="24"/>
        </w:rPr>
      </w:pPr>
    </w:p>
    <w:p w:rsidR="008C3AD2" w:rsidRDefault="008C3AD2" w:rsidP="008C3AD2">
      <w:pPr>
        <w:rPr>
          <w:b w:val="0"/>
          <w:bCs w:val="0"/>
          <w:sz w:val="24"/>
          <w:szCs w:val="24"/>
        </w:rPr>
      </w:pPr>
      <w:r>
        <w:rPr>
          <w:rFonts w:hint="cs"/>
          <w:b w:val="0"/>
          <w:bCs w:val="0"/>
          <w:sz w:val="24"/>
          <w:szCs w:val="24"/>
          <w:rtl/>
        </w:rPr>
        <w:t>תוספות</w:t>
      </w:r>
      <w:r>
        <w:rPr>
          <w:b w:val="0"/>
          <w:bCs w:val="0"/>
          <w:sz w:val="24"/>
          <w:szCs w:val="24"/>
        </w:rPr>
        <w:t xml:space="preserve"> explains that the two wrongs are; one -</w:t>
      </w:r>
    </w:p>
    <w:p w:rsidR="00017347" w:rsidRPr="000A008C" w:rsidRDefault="00017347" w:rsidP="00D05103">
      <w:pPr>
        <w:bidi/>
        <w:rPr>
          <w:rFonts w:cs="David"/>
        </w:rPr>
      </w:pPr>
      <w:r w:rsidRPr="000A008C">
        <w:rPr>
          <w:rFonts w:cs="David"/>
          <w:rtl/>
        </w:rPr>
        <w:t>שישתקו</w:t>
      </w:r>
      <w:r w:rsidR="00FB5FDA" w:rsidRPr="000A008C">
        <w:rPr>
          <w:rStyle w:val="FootnoteReference"/>
          <w:rFonts w:cs="David"/>
          <w:rtl/>
        </w:rPr>
        <w:footnoteReference w:id="2"/>
      </w:r>
      <w:r w:rsidRPr="000A008C">
        <w:rPr>
          <w:rFonts w:cs="David"/>
          <w:rtl/>
        </w:rPr>
        <w:t xml:space="preserve"> ולא יעידו האמת ועוד שיאמרו שקר וכן גבי שפחה</w:t>
      </w:r>
      <w:r w:rsidRPr="000A008C">
        <w:rPr>
          <w:rFonts w:cs="David"/>
        </w:rPr>
        <w:t>:</w:t>
      </w:r>
    </w:p>
    <w:p w:rsidR="008C3AD2" w:rsidRPr="000A008C" w:rsidRDefault="008C3AD2" w:rsidP="008C3AD2">
      <w:pPr>
        <w:rPr>
          <w:b w:val="0"/>
          <w:bCs w:val="0"/>
          <w:sz w:val="24"/>
          <w:szCs w:val="24"/>
        </w:rPr>
      </w:pPr>
      <w:r>
        <w:t xml:space="preserve">That they remain silent and not testify to the truth </w:t>
      </w:r>
      <w:r>
        <w:rPr>
          <w:b w:val="0"/>
          <w:bCs w:val="0"/>
        </w:rPr>
        <w:t xml:space="preserve">that he is the brother of </w:t>
      </w:r>
      <w:r>
        <w:rPr>
          <w:rFonts w:hint="cs"/>
          <w:b w:val="0"/>
          <w:bCs w:val="0"/>
          <w:rtl/>
        </w:rPr>
        <w:t>מרי</w:t>
      </w:r>
      <w:r>
        <w:rPr>
          <w:b w:val="0"/>
          <w:bCs w:val="0"/>
        </w:rPr>
        <w:t xml:space="preserve">, </w:t>
      </w:r>
      <w:r>
        <w:t xml:space="preserve">and </w:t>
      </w:r>
      <w:r>
        <w:rPr>
          <w:b w:val="0"/>
          <w:bCs w:val="0"/>
        </w:rPr>
        <w:t xml:space="preserve">secondly </w:t>
      </w:r>
      <w:r>
        <w:t xml:space="preserve">that they will lie </w:t>
      </w:r>
      <w:r>
        <w:rPr>
          <w:b w:val="0"/>
          <w:bCs w:val="0"/>
        </w:rPr>
        <w:t>and testify that he is not the brother</w:t>
      </w:r>
      <w:r w:rsidR="000A008C">
        <w:rPr>
          <w:b w:val="0"/>
          <w:bCs w:val="0"/>
        </w:rPr>
        <w:t>,</w:t>
      </w:r>
      <w:r>
        <w:rPr>
          <w:b w:val="0"/>
          <w:bCs w:val="0"/>
        </w:rPr>
        <w:t xml:space="preserve"> </w:t>
      </w:r>
      <w:r>
        <w:t xml:space="preserve">and similarly regarding the maidservant </w:t>
      </w:r>
      <w:r w:rsidRPr="000A008C">
        <w:rPr>
          <w:b w:val="0"/>
          <w:bCs w:val="0"/>
          <w:sz w:val="24"/>
          <w:szCs w:val="24"/>
        </w:rPr>
        <w:t xml:space="preserve">that she will remain silent </w:t>
      </w:r>
      <w:r w:rsidR="0099198D" w:rsidRPr="000A008C">
        <w:rPr>
          <w:b w:val="0"/>
          <w:bCs w:val="0"/>
          <w:sz w:val="24"/>
          <w:szCs w:val="24"/>
        </w:rPr>
        <w:t xml:space="preserve">regarding the </w:t>
      </w:r>
      <w:r w:rsidR="0099198D" w:rsidRPr="000A008C">
        <w:rPr>
          <w:rFonts w:hint="cs"/>
          <w:b w:val="0"/>
          <w:bCs w:val="0"/>
          <w:sz w:val="24"/>
          <w:szCs w:val="24"/>
          <w:rtl/>
        </w:rPr>
        <w:t>ט</w:t>
      </w:r>
      <w:r w:rsidR="000A008C" w:rsidRPr="000A008C">
        <w:rPr>
          <w:rFonts w:hint="cs"/>
          <w:b w:val="0"/>
          <w:bCs w:val="0"/>
          <w:sz w:val="24"/>
          <w:szCs w:val="24"/>
          <w:rtl/>
        </w:rPr>
        <w:t>ו</w:t>
      </w:r>
      <w:r w:rsidR="0099198D" w:rsidRPr="000A008C">
        <w:rPr>
          <w:rFonts w:hint="cs"/>
          <w:b w:val="0"/>
          <w:bCs w:val="0"/>
          <w:sz w:val="24"/>
          <w:szCs w:val="24"/>
          <w:rtl/>
        </w:rPr>
        <w:t>מאה</w:t>
      </w:r>
      <w:r w:rsidR="0099198D" w:rsidRPr="000A008C">
        <w:rPr>
          <w:b w:val="0"/>
          <w:bCs w:val="0"/>
          <w:sz w:val="24"/>
          <w:szCs w:val="24"/>
        </w:rPr>
        <w:t xml:space="preserve"> </w:t>
      </w:r>
      <w:r w:rsidRPr="000A008C">
        <w:rPr>
          <w:b w:val="0"/>
          <w:bCs w:val="0"/>
          <w:sz w:val="24"/>
          <w:szCs w:val="24"/>
        </w:rPr>
        <w:t xml:space="preserve">and in addition lie that her mistress was </w:t>
      </w:r>
      <w:r w:rsidRPr="000A008C">
        <w:rPr>
          <w:rFonts w:hint="cs"/>
          <w:b w:val="0"/>
          <w:bCs w:val="0"/>
          <w:sz w:val="24"/>
          <w:szCs w:val="24"/>
          <w:rtl/>
        </w:rPr>
        <w:t>לא נטמאה</w:t>
      </w:r>
      <w:r w:rsidR="005D4500">
        <w:rPr>
          <w:b w:val="0"/>
          <w:bCs w:val="0"/>
          <w:sz w:val="24"/>
          <w:szCs w:val="24"/>
        </w:rPr>
        <w:t>;</w:t>
      </w:r>
      <w:r w:rsidRPr="000A008C">
        <w:rPr>
          <w:b w:val="0"/>
          <w:bCs w:val="0"/>
          <w:sz w:val="24"/>
          <w:szCs w:val="24"/>
        </w:rPr>
        <w:t xml:space="preserve"> this she will not do.</w:t>
      </w:r>
    </w:p>
    <w:p w:rsidR="00D05103" w:rsidRPr="000A008C" w:rsidRDefault="00D05103" w:rsidP="00D05103">
      <w:pPr>
        <w:bidi/>
        <w:rPr>
          <w:sz w:val="24"/>
          <w:szCs w:val="24"/>
        </w:rPr>
      </w:pPr>
    </w:p>
    <w:p w:rsidR="003D4453" w:rsidRPr="00D05103" w:rsidRDefault="00D05103">
      <w:pPr>
        <w:rPr>
          <w:rFonts w:ascii="Copperplate Gothic Bold" w:hAnsi="Copperplate Gothic Bold"/>
          <w:b w:val="0"/>
          <w:bCs w:val="0"/>
          <w:u w:val="double"/>
        </w:rPr>
      </w:pPr>
      <w:r w:rsidRPr="00D05103">
        <w:rPr>
          <w:rFonts w:ascii="Copperplate Gothic Bold" w:hAnsi="Copperplate Gothic Bold"/>
          <w:b w:val="0"/>
          <w:bCs w:val="0"/>
          <w:u w:val="double"/>
        </w:rPr>
        <w:t>Summary</w:t>
      </w:r>
    </w:p>
    <w:p w:rsidR="00D05103" w:rsidRDefault="00FB5FDA" w:rsidP="004B236B">
      <w:pPr>
        <w:rPr>
          <w:b w:val="0"/>
          <w:bCs w:val="0"/>
        </w:rPr>
      </w:pPr>
      <w:r>
        <w:rPr>
          <w:b w:val="0"/>
          <w:bCs w:val="0"/>
        </w:rPr>
        <w:t>It is easier to be passively wrong tha</w:t>
      </w:r>
      <w:r w:rsidR="004B236B">
        <w:rPr>
          <w:b w:val="0"/>
          <w:bCs w:val="0"/>
        </w:rPr>
        <w:t>n</w:t>
      </w:r>
      <w:r>
        <w:rPr>
          <w:b w:val="0"/>
          <w:bCs w:val="0"/>
        </w:rPr>
        <w:t xml:space="preserve"> actively wrong.</w:t>
      </w:r>
    </w:p>
    <w:p w:rsidR="00D05103" w:rsidRPr="000A008C" w:rsidRDefault="00D05103">
      <w:pPr>
        <w:rPr>
          <w:b w:val="0"/>
          <w:bCs w:val="0"/>
          <w:sz w:val="24"/>
          <w:szCs w:val="24"/>
        </w:rPr>
      </w:pPr>
      <w:bookmarkStart w:id="0" w:name="_GoBack"/>
      <w:bookmarkEnd w:id="0"/>
    </w:p>
    <w:p w:rsidR="00D05103" w:rsidRPr="00D05103" w:rsidRDefault="00D05103">
      <w:pPr>
        <w:rPr>
          <w:rFonts w:ascii="Copperplate Gothic Bold" w:hAnsi="Copperplate Gothic Bold"/>
          <w:b w:val="0"/>
          <w:bCs w:val="0"/>
          <w:u w:val="double"/>
        </w:rPr>
      </w:pPr>
      <w:r w:rsidRPr="00D05103">
        <w:rPr>
          <w:rFonts w:ascii="Copperplate Gothic Bold" w:hAnsi="Copperplate Gothic Bold"/>
          <w:b w:val="0"/>
          <w:bCs w:val="0"/>
          <w:u w:val="double"/>
        </w:rPr>
        <w:t>Thinking it over</w:t>
      </w:r>
    </w:p>
    <w:p w:rsidR="00D05103" w:rsidRPr="00D05103" w:rsidRDefault="004B236B">
      <w:pPr>
        <w:rPr>
          <w:b w:val="0"/>
          <w:bCs w:val="0"/>
        </w:rPr>
      </w:pPr>
      <w:r>
        <w:rPr>
          <w:b w:val="0"/>
          <w:bCs w:val="0"/>
        </w:rPr>
        <w:t xml:space="preserve">Would the same thinking of </w:t>
      </w:r>
      <w:r>
        <w:rPr>
          <w:rFonts w:hint="cs"/>
          <w:b w:val="0"/>
          <w:bCs w:val="0"/>
          <w:rtl/>
        </w:rPr>
        <w:t>ר"ח</w:t>
      </w:r>
      <w:r>
        <w:rPr>
          <w:b w:val="0"/>
          <w:bCs w:val="0"/>
        </w:rPr>
        <w:t xml:space="preserve"> apply if </w:t>
      </w:r>
      <w:r>
        <w:rPr>
          <w:rFonts w:hint="cs"/>
          <w:b w:val="0"/>
          <w:bCs w:val="0"/>
          <w:rtl/>
        </w:rPr>
        <w:t>רמי</w:t>
      </w:r>
      <w:r>
        <w:rPr>
          <w:b w:val="0"/>
          <w:bCs w:val="0"/>
        </w:rPr>
        <w:t xml:space="preserve"> were to bring different </w:t>
      </w:r>
      <w:r>
        <w:rPr>
          <w:rFonts w:hint="cs"/>
          <w:b w:val="0"/>
          <w:bCs w:val="0"/>
          <w:rtl/>
        </w:rPr>
        <w:t>עדים</w:t>
      </w:r>
      <w:r>
        <w:rPr>
          <w:b w:val="0"/>
          <w:bCs w:val="0"/>
        </w:rPr>
        <w:t xml:space="preserve">; would we also believe them because </w:t>
      </w:r>
      <w:r>
        <w:rPr>
          <w:rFonts w:hint="cs"/>
          <w:b w:val="0"/>
          <w:bCs w:val="0"/>
          <w:rtl/>
        </w:rPr>
        <w:t>תרתי לא עבדי</w:t>
      </w:r>
      <w:r>
        <w:rPr>
          <w:b w:val="0"/>
          <w:bCs w:val="0"/>
        </w:rPr>
        <w:t xml:space="preserve">, or is it only regarding the same </w:t>
      </w:r>
      <w:r>
        <w:rPr>
          <w:rFonts w:hint="cs"/>
          <w:b w:val="0"/>
          <w:bCs w:val="0"/>
          <w:rtl/>
        </w:rPr>
        <w:t>עדים</w:t>
      </w:r>
      <w:r>
        <w:rPr>
          <w:b w:val="0"/>
          <w:bCs w:val="0"/>
        </w:rPr>
        <w:t xml:space="preserve"> who were initially silent?</w:t>
      </w:r>
    </w:p>
    <w:sectPr w:rsidR="00D05103" w:rsidRPr="00D0510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F66" w:rsidRDefault="00F07F66" w:rsidP="00D05103">
      <w:pPr>
        <w:spacing w:line="240" w:lineRule="auto"/>
      </w:pPr>
      <w:r>
        <w:separator/>
      </w:r>
    </w:p>
  </w:endnote>
  <w:endnote w:type="continuationSeparator" w:id="0">
    <w:p w:rsidR="00F07F66" w:rsidRDefault="00F07F66" w:rsidP="00D05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1CD" w:rsidRPr="00EA61CD" w:rsidRDefault="00EA61CD" w:rsidP="00EA61CD">
    <w:pPr>
      <w:pStyle w:val="Footer"/>
      <w:jc w:val="center"/>
      <w:rPr>
        <w:b w:val="0"/>
        <w:bCs w:val="0"/>
        <w:sz w:val="16"/>
        <w:szCs w:val="16"/>
      </w:rPr>
    </w:pPr>
    <w:r w:rsidRPr="00EA61CD">
      <w:rPr>
        <w:b w:val="0"/>
        <w:bCs w:val="0"/>
        <w:sz w:val="16"/>
        <w:szCs w:val="16"/>
      </w:rPr>
      <w:t>TosfosInEnglish.com</w:t>
    </w:r>
  </w:p>
  <w:p w:rsidR="00EA61CD" w:rsidRDefault="00EA6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F66" w:rsidRDefault="00F07F66" w:rsidP="00D05103">
      <w:pPr>
        <w:spacing w:line="240" w:lineRule="auto"/>
      </w:pPr>
      <w:r>
        <w:separator/>
      </w:r>
    </w:p>
  </w:footnote>
  <w:footnote w:type="continuationSeparator" w:id="0">
    <w:p w:rsidR="00F07F66" w:rsidRDefault="00F07F66" w:rsidP="00D05103">
      <w:pPr>
        <w:spacing w:line="240" w:lineRule="auto"/>
      </w:pPr>
      <w:r>
        <w:continuationSeparator/>
      </w:r>
    </w:p>
  </w:footnote>
  <w:footnote w:id="1">
    <w:p w:rsidR="00FB5FDA" w:rsidRPr="000A008C" w:rsidRDefault="00FB5FDA" w:rsidP="000A008C">
      <w:pPr>
        <w:pStyle w:val="FootnoteText"/>
        <w:spacing w:line="264" w:lineRule="auto"/>
        <w:rPr>
          <w:b w:val="0"/>
          <w:bCs w:val="0"/>
        </w:rPr>
      </w:pPr>
      <w:r w:rsidRPr="000A008C">
        <w:rPr>
          <w:rStyle w:val="FootnoteReference"/>
          <w:b w:val="0"/>
          <w:bCs w:val="0"/>
        </w:rPr>
        <w:footnoteRef/>
      </w:r>
      <w:r w:rsidRPr="000A008C">
        <w:rPr>
          <w:b w:val="0"/>
          <w:bCs w:val="0"/>
        </w:rPr>
        <w:t xml:space="preserve"> Seemingly the cases of </w:t>
      </w:r>
      <w:r w:rsidRPr="000A008C">
        <w:rPr>
          <w:rFonts w:hint="cs"/>
          <w:b w:val="0"/>
          <w:bCs w:val="0"/>
          <w:rtl/>
        </w:rPr>
        <w:t>מרי</w:t>
      </w:r>
      <w:r w:rsidRPr="000A008C">
        <w:rPr>
          <w:b w:val="0"/>
          <w:bCs w:val="0"/>
        </w:rPr>
        <w:t xml:space="preserve"> and </w:t>
      </w:r>
      <w:r w:rsidRPr="000A008C">
        <w:rPr>
          <w:rFonts w:hint="cs"/>
          <w:b w:val="0"/>
          <w:bCs w:val="0"/>
          <w:rtl/>
        </w:rPr>
        <w:t>שפחה</w:t>
      </w:r>
      <w:r w:rsidRPr="000A008C">
        <w:rPr>
          <w:b w:val="0"/>
          <w:bCs w:val="0"/>
        </w:rPr>
        <w:t xml:space="preserve"> are not similar. By </w:t>
      </w:r>
      <w:r w:rsidRPr="000A008C">
        <w:rPr>
          <w:rFonts w:hint="cs"/>
          <w:b w:val="0"/>
          <w:bCs w:val="0"/>
          <w:rtl/>
        </w:rPr>
        <w:t>מרי</w:t>
      </w:r>
      <w:r w:rsidRPr="000A008C">
        <w:rPr>
          <w:b w:val="0"/>
          <w:bCs w:val="0"/>
        </w:rPr>
        <w:t xml:space="preserve"> the silence of the </w:t>
      </w:r>
      <w:r w:rsidRPr="000A008C">
        <w:rPr>
          <w:rFonts w:hint="cs"/>
          <w:b w:val="0"/>
          <w:bCs w:val="0"/>
          <w:rtl/>
        </w:rPr>
        <w:t>עדים</w:t>
      </w:r>
      <w:r w:rsidRPr="000A008C">
        <w:rPr>
          <w:b w:val="0"/>
          <w:bCs w:val="0"/>
        </w:rPr>
        <w:t xml:space="preserve"> (by not saying the truth) causes the brother a loss; however by the </w:t>
      </w:r>
      <w:r w:rsidRPr="000A008C">
        <w:rPr>
          <w:rFonts w:hint="cs"/>
          <w:b w:val="0"/>
          <w:bCs w:val="0"/>
          <w:rtl/>
        </w:rPr>
        <w:t>שפחה</w:t>
      </w:r>
      <w:r w:rsidRPr="000A008C">
        <w:rPr>
          <w:b w:val="0"/>
          <w:bCs w:val="0"/>
        </w:rPr>
        <w:t xml:space="preserve"> (where we want to say that she will not lie and say </w:t>
      </w:r>
      <w:r w:rsidRPr="000A008C">
        <w:rPr>
          <w:rFonts w:hint="cs"/>
          <w:b w:val="0"/>
          <w:bCs w:val="0"/>
          <w:rtl/>
        </w:rPr>
        <w:t>לא נטמאה</w:t>
      </w:r>
      <w:r w:rsidRPr="000A008C">
        <w:rPr>
          <w:b w:val="0"/>
          <w:bCs w:val="0"/>
        </w:rPr>
        <w:t xml:space="preserve">, if indeed it was </w:t>
      </w:r>
      <w:r w:rsidRPr="000A008C">
        <w:rPr>
          <w:rFonts w:hint="cs"/>
          <w:b w:val="0"/>
          <w:bCs w:val="0"/>
          <w:rtl/>
        </w:rPr>
        <w:t>נטמאה</w:t>
      </w:r>
      <w:r w:rsidRPr="000A008C">
        <w:rPr>
          <w:b w:val="0"/>
          <w:bCs w:val="0"/>
        </w:rPr>
        <w:t xml:space="preserve">, because she will not do two wrong things, she will only do one wrong thing and that is, not to testify that she was </w:t>
      </w:r>
      <w:r w:rsidRPr="000A008C">
        <w:rPr>
          <w:rFonts w:hint="cs"/>
          <w:b w:val="0"/>
          <w:bCs w:val="0"/>
          <w:rtl/>
        </w:rPr>
        <w:t>נטמאה</w:t>
      </w:r>
      <w:r w:rsidRPr="000A008C">
        <w:rPr>
          <w:b w:val="0"/>
          <w:bCs w:val="0"/>
        </w:rPr>
        <w:t>; however) her not testifying that</w:t>
      </w:r>
      <w:r w:rsidR="005D4500">
        <w:rPr>
          <w:b w:val="0"/>
          <w:bCs w:val="0"/>
        </w:rPr>
        <w:t xml:space="preserve"> the </w:t>
      </w:r>
      <w:r w:rsidR="005D4500">
        <w:rPr>
          <w:rFonts w:hint="cs"/>
          <w:b w:val="0"/>
          <w:bCs w:val="0"/>
          <w:rtl/>
        </w:rPr>
        <w:t>שבויה</w:t>
      </w:r>
      <w:r w:rsidR="005D4500">
        <w:rPr>
          <w:b w:val="0"/>
          <w:bCs w:val="0"/>
        </w:rPr>
        <w:t xml:space="preserve"> was</w:t>
      </w:r>
      <w:r w:rsidRPr="000A008C">
        <w:rPr>
          <w:b w:val="0"/>
          <w:bCs w:val="0"/>
        </w:rPr>
        <w:t xml:space="preserve"> </w:t>
      </w:r>
      <w:r w:rsidRPr="000A008C">
        <w:rPr>
          <w:rFonts w:hint="cs"/>
          <w:b w:val="0"/>
          <w:bCs w:val="0"/>
          <w:rtl/>
        </w:rPr>
        <w:t>נטמאה</w:t>
      </w:r>
      <w:r w:rsidRPr="000A008C">
        <w:rPr>
          <w:b w:val="0"/>
          <w:bCs w:val="0"/>
        </w:rPr>
        <w:t xml:space="preserve"> is irrelevant since her mistress is </w:t>
      </w:r>
      <w:r w:rsidRPr="000A008C">
        <w:rPr>
          <w:rFonts w:hint="cs"/>
          <w:b w:val="0"/>
          <w:bCs w:val="0"/>
          <w:rtl/>
        </w:rPr>
        <w:t>אסורה</w:t>
      </w:r>
      <w:r w:rsidRPr="000A008C">
        <w:rPr>
          <w:b w:val="0"/>
          <w:bCs w:val="0"/>
        </w:rPr>
        <w:t xml:space="preserve"> regardless. See </w:t>
      </w:r>
      <w:r w:rsidRPr="000A008C">
        <w:rPr>
          <w:rFonts w:hint="cs"/>
          <w:b w:val="0"/>
          <w:bCs w:val="0"/>
          <w:rtl/>
        </w:rPr>
        <w:t>ריטב"א</w:t>
      </w:r>
      <w:r w:rsidRPr="000A008C">
        <w:rPr>
          <w:b w:val="0"/>
          <w:bCs w:val="0"/>
        </w:rPr>
        <w:t xml:space="preserve">.  </w:t>
      </w:r>
    </w:p>
  </w:footnote>
  <w:footnote w:id="2">
    <w:p w:rsidR="00FB5FDA" w:rsidRPr="000A008C" w:rsidRDefault="00FB5FDA" w:rsidP="000A008C">
      <w:pPr>
        <w:pStyle w:val="FootnoteText"/>
        <w:spacing w:line="264" w:lineRule="auto"/>
        <w:rPr>
          <w:b w:val="0"/>
          <w:bCs w:val="0"/>
        </w:rPr>
      </w:pPr>
      <w:r w:rsidRPr="000A008C">
        <w:rPr>
          <w:rStyle w:val="FootnoteReference"/>
          <w:b w:val="0"/>
          <w:bCs w:val="0"/>
        </w:rPr>
        <w:footnoteRef/>
      </w:r>
      <w:r w:rsidRPr="000A008C">
        <w:rPr>
          <w:b w:val="0"/>
          <w:bCs w:val="0"/>
        </w:rPr>
        <w:t xml:space="preserve"> </w:t>
      </w:r>
      <w:r w:rsidRPr="000A008C">
        <w:rPr>
          <w:rFonts w:hint="cs"/>
          <w:b w:val="0"/>
          <w:bCs w:val="0"/>
          <w:rtl/>
        </w:rPr>
        <w:t>תוספות</w:t>
      </w:r>
      <w:r w:rsidRPr="000A008C">
        <w:rPr>
          <w:b w:val="0"/>
          <w:bCs w:val="0"/>
        </w:rPr>
        <w:t xml:space="preserve"> may be saying that the </w:t>
      </w:r>
      <w:r w:rsidRPr="000A008C">
        <w:rPr>
          <w:rFonts w:hint="cs"/>
          <w:b w:val="0"/>
          <w:bCs w:val="0"/>
          <w:rtl/>
        </w:rPr>
        <w:t>תרתי לא עבדי</w:t>
      </w:r>
      <w:r w:rsidRPr="000A008C">
        <w:rPr>
          <w:b w:val="0"/>
          <w:bCs w:val="0"/>
        </w:rPr>
        <w:t xml:space="preserve"> does not mean they will not do two wrong things to hurt someone (for by </w:t>
      </w:r>
      <w:r w:rsidRPr="000A008C">
        <w:rPr>
          <w:rFonts w:hint="cs"/>
          <w:b w:val="0"/>
          <w:bCs w:val="0"/>
          <w:rtl/>
        </w:rPr>
        <w:t>שפחה</w:t>
      </w:r>
      <w:r w:rsidRPr="000A008C">
        <w:rPr>
          <w:b w:val="0"/>
          <w:bCs w:val="0"/>
        </w:rPr>
        <w:t xml:space="preserve"> her silence does not hurt anyone) but rather, a person may feel comfortable in not doing what is right (by being silent and passive), however they will not go so far as to do something actively wrong, such as testifying falsely.</w:t>
      </w:r>
      <w:r w:rsidR="004B236B" w:rsidRPr="000A008C">
        <w:rPr>
          <w:b w:val="0"/>
          <w:bCs w:val="0"/>
        </w:rPr>
        <w:t xml:space="preserve"> </w:t>
      </w:r>
      <w:proofErr w:type="gramStart"/>
      <w:r w:rsidR="004B236B" w:rsidRPr="000A008C">
        <w:rPr>
          <w:b w:val="0"/>
          <w:bCs w:val="0"/>
        </w:rPr>
        <w:t xml:space="preserve">See </w:t>
      </w:r>
      <w:r w:rsidR="004B236B" w:rsidRPr="000A008C">
        <w:rPr>
          <w:rFonts w:hint="cs"/>
          <w:b w:val="0"/>
          <w:bCs w:val="0"/>
          <w:rtl/>
        </w:rPr>
        <w:t>תוס' שאנ"ץ</w:t>
      </w:r>
      <w:r w:rsidR="004B236B" w:rsidRPr="000A008C">
        <w:rPr>
          <w:b w:val="0"/>
          <w:bCs w:val="0"/>
        </w:rPr>
        <w:t xml:space="preserve"> for a seemingly different explanation.</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103" w:rsidRPr="00D05103" w:rsidRDefault="00D05103" w:rsidP="00D05103">
    <w:pPr>
      <w:pStyle w:val="Header"/>
      <w:bidi/>
      <w:rPr>
        <w:b w:val="0"/>
        <w:bCs w:val="0"/>
        <w:sz w:val="24"/>
        <w:szCs w:val="24"/>
        <w:rtl/>
      </w:rPr>
    </w:pPr>
    <w:r>
      <w:rPr>
        <w:rFonts w:hint="cs"/>
        <w:b w:val="0"/>
        <w:bCs w:val="0"/>
        <w:sz w:val="24"/>
        <w:szCs w:val="24"/>
        <w:rtl/>
      </w:rPr>
      <w:t>בס"ד. כתובות כז,ב תוס' ד"ה תרתי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47"/>
    <w:rsid w:val="00017347"/>
    <w:rsid w:val="000A008C"/>
    <w:rsid w:val="002C3BF2"/>
    <w:rsid w:val="0034367E"/>
    <w:rsid w:val="003D4453"/>
    <w:rsid w:val="004B236B"/>
    <w:rsid w:val="005D4500"/>
    <w:rsid w:val="008C3AD2"/>
    <w:rsid w:val="0099198D"/>
    <w:rsid w:val="009F5543"/>
    <w:rsid w:val="00AD4931"/>
    <w:rsid w:val="00B03869"/>
    <w:rsid w:val="00D05103"/>
    <w:rsid w:val="00EA61CD"/>
    <w:rsid w:val="00F07F66"/>
    <w:rsid w:val="00FB5F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103"/>
    <w:pPr>
      <w:tabs>
        <w:tab w:val="center" w:pos="4680"/>
        <w:tab w:val="right" w:pos="9360"/>
      </w:tabs>
      <w:spacing w:line="240" w:lineRule="auto"/>
    </w:pPr>
  </w:style>
  <w:style w:type="character" w:customStyle="1" w:styleId="HeaderChar">
    <w:name w:val="Header Char"/>
    <w:basedOn w:val="DefaultParagraphFont"/>
    <w:link w:val="Header"/>
    <w:uiPriority w:val="99"/>
    <w:rsid w:val="00D05103"/>
  </w:style>
  <w:style w:type="paragraph" w:styleId="Footer">
    <w:name w:val="footer"/>
    <w:basedOn w:val="Normal"/>
    <w:link w:val="FooterChar"/>
    <w:uiPriority w:val="99"/>
    <w:unhideWhenUsed/>
    <w:rsid w:val="00D05103"/>
    <w:pPr>
      <w:tabs>
        <w:tab w:val="center" w:pos="4680"/>
        <w:tab w:val="right" w:pos="9360"/>
      </w:tabs>
      <w:spacing w:line="240" w:lineRule="auto"/>
    </w:pPr>
  </w:style>
  <w:style w:type="character" w:customStyle="1" w:styleId="FooterChar">
    <w:name w:val="Footer Char"/>
    <w:basedOn w:val="DefaultParagraphFont"/>
    <w:link w:val="Footer"/>
    <w:uiPriority w:val="99"/>
    <w:rsid w:val="00D05103"/>
  </w:style>
  <w:style w:type="paragraph" w:styleId="FootnoteText">
    <w:name w:val="footnote text"/>
    <w:basedOn w:val="Normal"/>
    <w:link w:val="FootnoteTextChar"/>
    <w:uiPriority w:val="99"/>
    <w:semiHidden/>
    <w:unhideWhenUsed/>
    <w:rsid w:val="009F5543"/>
    <w:pPr>
      <w:spacing w:line="240" w:lineRule="auto"/>
    </w:pPr>
    <w:rPr>
      <w:sz w:val="20"/>
      <w:szCs w:val="20"/>
    </w:rPr>
  </w:style>
  <w:style w:type="character" w:customStyle="1" w:styleId="FootnoteTextChar">
    <w:name w:val="Footnote Text Char"/>
    <w:basedOn w:val="DefaultParagraphFont"/>
    <w:link w:val="FootnoteText"/>
    <w:uiPriority w:val="99"/>
    <w:semiHidden/>
    <w:rsid w:val="009F5543"/>
    <w:rPr>
      <w:sz w:val="20"/>
      <w:szCs w:val="20"/>
    </w:rPr>
  </w:style>
  <w:style w:type="character" w:styleId="FootnoteReference">
    <w:name w:val="footnote reference"/>
    <w:basedOn w:val="DefaultParagraphFont"/>
    <w:uiPriority w:val="99"/>
    <w:semiHidden/>
    <w:unhideWhenUsed/>
    <w:rsid w:val="009F5543"/>
    <w:rPr>
      <w:vertAlign w:val="superscript"/>
    </w:rPr>
  </w:style>
  <w:style w:type="paragraph" w:styleId="BalloonText">
    <w:name w:val="Balloon Text"/>
    <w:basedOn w:val="Normal"/>
    <w:link w:val="BalloonTextChar"/>
    <w:uiPriority w:val="99"/>
    <w:semiHidden/>
    <w:unhideWhenUsed/>
    <w:rsid w:val="00EA61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103"/>
    <w:pPr>
      <w:tabs>
        <w:tab w:val="center" w:pos="4680"/>
        <w:tab w:val="right" w:pos="9360"/>
      </w:tabs>
      <w:spacing w:line="240" w:lineRule="auto"/>
    </w:pPr>
  </w:style>
  <w:style w:type="character" w:customStyle="1" w:styleId="HeaderChar">
    <w:name w:val="Header Char"/>
    <w:basedOn w:val="DefaultParagraphFont"/>
    <w:link w:val="Header"/>
    <w:uiPriority w:val="99"/>
    <w:rsid w:val="00D05103"/>
  </w:style>
  <w:style w:type="paragraph" w:styleId="Footer">
    <w:name w:val="footer"/>
    <w:basedOn w:val="Normal"/>
    <w:link w:val="FooterChar"/>
    <w:uiPriority w:val="99"/>
    <w:unhideWhenUsed/>
    <w:rsid w:val="00D05103"/>
    <w:pPr>
      <w:tabs>
        <w:tab w:val="center" w:pos="4680"/>
        <w:tab w:val="right" w:pos="9360"/>
      </w:tabs>
      <w:spacing w:line="240" w:lineRule="auto"/>
    </w:pPr>
  </w:style>
  <w:style w:type="character" w:customStyle="1" w:styleId="FooterChar">
    <w:name w:val="Footer Char"/>
    <w:basedOn w:val="DefaultParagraphFont"/>
    <w:link w:val="Footer"/>
    <w:uiPriority w:val="99"/>
    <w:rsid w:val="00D05103"/>
  </w:style>
  <w:style w:type="paragraph" w:styleId="FootnoteText">
    <w:name w:val="footnote text"/>
    <w:basedOn w:val="Normal"/>
    <w:link w:val="FootnoteTextChar"/>
    <w:uiPriority w:val="99"/>
    <w:semiHidden/>
    <w:unhideWhenUsed/>
    <w:rsid w:val="009F5543"/>
    <w:pPr>
      <w:spacing w:line="240" w:lineRule="auto"/>
    </w:pPr>
    <w:rPr>
      <w:sz w:val="20"/>
      <w:szCs w:val="20"/>
    </w:rPr>
  </w:style>
  <w:style w:type="character" w:customStyle="1" w:styleId="FootnoteTextChar">
    <w:name w:val="Footnote Text Char"/>
    <w:basedOn w:val="DefaultParagraphFont"/>
    <w:link w:val="FootnoteText"/>
    <w:uiPriority w:val="99"/>
    <w:semiHidden/>
    <w:rsid w:val="009F5543"/>
    <w:rPr>
      <w:sz w:val="20"/>
      <w:szCs w:val="20"/>
    </w:rPr>
  </w:style>
  <w:style w:type="character" w:styleId="FootnoteReference">
    <w:name w:val="footnote reference"/>
    <w:basedOn w:val="DefaultParagraphFont"/>
    <w:uiPriority w:val="99"/>
    <w:semiHidden/>
    <w:unhideWhenUsed/>
    <w:rsid w:val="009F5543"/>
    <w:rPr>
      <w:vertAlign w:val="superscript"/>
    </w:rPr>
  </w:style>
  <w:style w:type="paragraph" w:styleId="BalloonText">
    <w:name w:val="Balloon Text"/>
    <w:basedOn w:val="Normal"/>
    <w:link w:val="BalloonTextChar"/>
    <w:uiPriority w:val="99"/>
    <w:semiHidden/>
    <w:unhideWhenUsed/>
    <w:rsid w:val="00EA61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7</cp:revision>
  <cp:lastPrinted>2015-11-02T00:53:00Z</cp:lastPrinted>
  <dcterms:created xsi:type="dcterms:W3CDTF">2015-11-01T19:07:00Z</dcterms:created>
  <dcterms:modified xsi:type="dcterms:W3CDTF">2015-12-06T18:47:00Z</dcterms:modified>
</cp:coreProperties>
</file>