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268" w:rsidRPr="00D83268" w:rsidRDefault="009C5809" w:rsidP="006D227F">
      <w:pPr>
        <w:bidi/>
        <w:rPr>
          <w:b w:val="0"/>
          <w:bCs w:val="0"/>
        </w:rPr>
      </w:pPr>
      <w:r w:rsidRPr="00D83268">
        <w:rPr>
          <w:sz w:val="36"/>
          <w:szCs w:val="36"/>
          <w:rtl/>
        </w:rPr>
        <w:t>במסיחה</w:t>
      </w:r>
      <w:r w:rsidR="00D83268">
        <w:rPr>
          <w:rFonts w:hint="cs"/>
          <w:rtl/>
        </w:rPr>
        <w:t xml:space="preserve"> </w:t>
      </w:r>
      <w:r w:rsidRPr="00D83268">
        <w:rPr>
          <w:sz w:val="32"/>
          <w:szCs w:val="32"/>
          <w:rtl/>
        </w:rPr>
        <w:t>לפי תומה</w:t>
      </w:r>
      <w:r w:rsidR="00D83268">
        <w:rPr>
          <w:rFonts w:hint="cs"/>
          <w:sz w:val="32"/>
          <w:szCs w:val="32"/>
          <w:rtl/>
        </w:rPr>
        <w:t xml:space="preserve"> </w:t>
      </w:r>
      <w:r w:rsidR="00D83268">
        <w:rPr>
          <w:sz w:val="32"/>
          <w:szCs w:val="32"/>
          <w:rtl/>
        </w:rPr>
        <w:t>–</w:t>
      </w:r>
      <w:r w:rsidR="00D83268">
        <w:rPr>
          <w:rFonts w:hint="cs"/>
          <w:sz w:val="32"/>
          <w:szCs w:val="32"/>
          <w:rtl/>
        </w:rPr>
        <w:t xml:space="preserve"> </w:t>
      </w:r>
      <w:r w:rsidR="00D83268">
        <w:rPr>
          <w:sz w:val="32"/>
          <w:szCs w:val="32"/>
        </w:rPr>
        <w:t xml:space="preserve">When she was speaking innocently        </w:t>
      </w:r>
      <w:r w:rsidR="00F971C7">
        <w:rPr>
          <w:sz w:val="32"/>
          <w:szCs w:val="32"/>
        </w:rPr>
        <w:t xml:space="preserve">  </w:t>
      </w:r>
      <w:r w:rsidR="006D227F">
        <w:rPr>
          <w:sz w:val="32"/>
          <w:szCs w:val="32"/>
        </w:rPr>
        <w:t xml:space="preserve"> </w:t>
      </w:r>
      <w:r w:rsidR="006D227F">
        <w:rPr>
          <w:sz w:val="16"/>
          <w:szCs w:val="16"/>
        </w:rPr>
        <w:t xml:space="preserve">   </w:t>
      </w:r>
      <w:bookmarkStart w:id="0" w:name="_GoBack"/>
      <w:bookmarkEnd w:id="0"/>
      <w:r w:rsidR="00F971C7">
        <w:rPr>
          <w:sz w:val="16"/>
          <w:szCs w:val="16"/>
        </w:rPr>
        <w:t xml:space="preserve"> </w:t>
      </w:r>
      <w:r w:rsidR="00D83268">
        <w:rPr>
          <w:sz w:val="32"/>
          <w:szCs w:val="32"/>
        </w:rPr>
        <w:t xml:space="preserve">              </w:t>
      </w:r>
    </w:p>
    <w:p w:rsidR="00D83268" w:rsidRDefault="00D83268" w:rsidP="00D83268">
      <w:pPr>
        <w:bidi/>
        <w:rPr>
          <w:b w:val="0"/>
          <w:bCs w:val="0"/>
          <w:sz w:val="24"/>
          <w:szCs w:val="24"/>
          <w:rtl/>
        </w:rPr>
      </w:pPr>
    </w:p>
    <w:p w:rsidR="00D83268" w:rsidRPr="00D83268" w:rsidRDefault="00D83268" w:rsidP="00D83268">
      <w:pPr>
        <w:rPr>
          <w:rFonts w:ascii="Copperplate Gothic Bold" w:hAnsi="Copperplate Gothic Bold"/>
          <w:b w:val="0"/>
          <w:bCs w:val="0"/>
          <w:u w:val="double"/>
        </w:rPr>
      </w:pPr>
      <w:r w:rsidRPr="00D83268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D83268" w:rsidRPr="00D83268" w:rsidRDefault="002065BC" w:rsidP="00453513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 פפא</w:t>
      </w:r>
      <w:r>
        <w:rPr>
          <w:b w:val="0"/>
          <w:bCs w:val="0"/>
        </w:rPr>
        <w:t xml:space="preserve"> differentiated between </w:t>
      </w:r>
      <w:r w:rsidR="001B3C65">
        <w:rPr>
          <w:b w:val="0"/>
          <w:bCs w:val="0"/>
        </w:rPr>
        <w:t xml:space="preserve">the </w:t>
      </w:r>
      <w:r>
        <w:rPr>
          <w:b w:val="0"/>
          <w:bCs w:val="0"/>
        </w:rPr>
        <w:t>testimon</w:t>
      </w:r>
      <w:r w:rsidR="001B3C65">
        <w:rPr>
          <w:b w:val="0"/>
          <w:bCs w:val="0"/>
        </w:rPr>
        <w:t>ies</w:t>
      </w:r>
      <w:r>
        <w:rPr>
          <w:b w:val="0"/>
          <w:bCs w:val="0"/>
        </w:rPr>
        <w:t xml:space="preserve"> of her </w:t>
      </w:r>
      <w:r>
        <w:rPr>
          <w:rFonts w:hint="cs"/>
          <w:b w:val="0"/>
          <w:bCs w:val="0"/>
          <w:rtl/>
        </w:rPr>
        <w:t>שפחה</w:t>
      </w:r>
      <w:r>
        <w:rPr>
          <w:b w:val="0"/>
          <w:bCs w:val="0"/>
        </w:rPr>
        <w:t xml:space="preserve"> regarding a </w:t>
      </w:r>
      <w:r>
        <w:rPr>
          <w:rFonts w:hint="cs"/>
          <w:b w:val="0"/>
          <w:bCs w:val="0"/>
          <w:rtl/>
        </w:rPr>
        <w:t>שבויה</w:t>
      </w:r>
      <w:r w:rsidR="001B3C65">
        <w:rPr>
          <w:b w:val="0"/>
          <w:bCs w:val="0"/>
        </w:rPr>
        <w:t>;</w:t>
      </w:r>
      <w:r>
        <w:rPr>
          <w:b w:val="0"/>
          <w:bCs w:val="0"/>
        </w:rPr>
        <w:t xml:space="preserve"> that</w:t>
      </w:r>
      <w:r w:rsidR="001B3C65">
        <w:rPr>
          <w:b w:val="0"/>
          <w:bCs w:val="0"/>
        </w:rPr>
        <w:t xml:space="preserve"> generally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שפחתה</w:t>
      </w:r>
      <w:r>
        <w:rPr>
          <w:b w:val="0"/>
          <w:bCs w:val="0"/>
        </w:rPr>
        <w:t xml:space="preserve"> is not believed, however if </w:t>
      </w:r>
      <w:r w:rsidR="00453513">
        <w:rPr>
          <w:b w:val="0"/>
          <w:bCs w:val="0"/>
        </w:rPr>
        <w:t>she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מסיחה לפי תומה</w:t>
      </w:r>
      <w:r w:rsidR="00453513">
        <w:rPr>
          <w:b w:val="0"/>
          <w:bCs w:val="0"/>
        </w:rPr>
        <w:t>,</w:t>
      </w:r>
      <w:r>
        <w:rPr>
          <w:b w:val="0"/>
          <w:bCs w:val="0"/>
        </w:rPr>
        <w:t xml:space="preserve"> even </w:t>
      </w:r>
      <w:r>
        <w:rPr>
          <w:rFonts w:hint="cs"/>
          <w:b w:val="0"/>
          <w:bCs w:val="0"/>
          <w:rtl/>
        </w:rPr>
        <w:t>שפחתה</w:t>
      </w:r>
      <w:r>
        <w:rPr>
          <w:b w:val="0"/>
          <w:bCs w:val="0"/>
        </w:rPr>
        <w:t xml:space="preserve"> is believed.</w:t>
      </w:r>
      <w:r w:rsidR="00D93B0D">
        <w:rPr>
          <w:b w:val="0"/>
          <w:bCs w:val="0"/>
        </w:rPr>
        <w:t xml:space="preserve"> </w:t>
      </w:r>
      <w:r w:rsidR="00D93B0D">
        <w:rPr>
          <w:rFonts w:hint="cs"/>
          <w:b w:val="0"/>
          <w:bCs w:val="0"/>
          <w:rtl/>
        </w:rPr>
        <w:t>תוספות</w:t>
      </w:r>
      <w:r w:rsidR="00D93B0D">
        <w:rPr>
          <w:b w:val="0"/>
          <w:bCs w:val="0"/>
        </w:rPr>
        <w:t xml:space="preserve"> will differentiate between </w:t>
      </w:r>
      <w:r w:rsidR="00D93B0D">
        <w:rPr>
          <w:rFonts w:hint="cs"/>
          <w:b w:val="0"/>
          <w:bCs w:val="0"/>
          <w:rtl/>
        </w:rPr>
        <w:t>שפחתה</w:t>
      </w:r>
      <w:r w:rsidR="00D93B0D">
        <w:rPr>
          <w:b w:val="0"/>
          <w:bCs w:val="0"/>
        </w:rPr>
        <w:t xml:space="preserve"> who is believed by </w:t>
      </w:r>
      <w:r w:rsidR="00D93B0D">
        <w:rPr>
          <w:rFonts w:hint="cs"/>
          <w:b w:val="0"/>
          <w:bCs w:val="0"/>
          <w:rtl/>
        </w:rPr>
        <w:t>מסיחה לפי תומה</w:t>
      </w:r>
      <w:r w:rsidR="00D93B0D">
        <w:rPr>
          <w:b w:val="0"/>
          <w:bCs w:val="0"/>
        </w:rPr>
        <w:t xml:space="preserve"> and herself and her husband who are not believed even if they were </w:t>
      </w:r>
      <w:r w:rsidR="00D93B0D">
        <w:rPr>
          <w:rFonts w:hint="cs"/>
          <w:b w:val="0"/>
          <w:bCs w:val="0"/>
          <w:rtl/>
        </w:rPr>
        <w:t>מסיח לפי תומם</w:t>
      </w:r>
      <w:r w:rsidR="00D93B0D">
        <w:rPr>
          <w:b w:val="0"/>
          <w:bCs w:val="0"/>
        </w:rPr>
        <w:t>.</w:t>
      </w:r>
    </w:p>
    <w:p w:rsidR="00D83268" w:rsidRDefault="00B7240B" w:rsidP="00B7240B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D83268" w:rsidRPr="00B7240B" w:rsidRDefault="009C5809" w:rsidP="00B7240B">
      <w:pPr>
        <w:bidi/>
        <w:rPr>
          <w:rFonts w:cs="David"/>
        </w:rPr>
      </w:pPr>
      <w:r w:rsidRPr="00B7240B">
        <w:rPr>
          <w:rFonts w:cs="David"/>
          <w:rtl/>
        </w:rPr>
        <w:t xml:space="preserve">ואפילו הכי היא ובעלה אינן נאמנין </w:t>
      </w:r>
      <w:r w:rsidR="00B7240B">
        <w:rPr>
          <w:rFonts w:cs="David" w:hint="cs"/>
          <w:rtl/>
        </w:rPr>
        <w:t>-</w:t>
      </w:r>
    </w:p>
    <w:p w:rsidR="00D93B0D" w:rsidRPr="00B7240B" w:rsidRDefault="00D93B0D" w:rsidP="00D93B0D">
      <w:pPr>
        <w:rPr>
          <w:b w:val="0"/>
          <w:bCs w:val="0"/>
          <w:sz w:val="24"/>
          <w:szCs w:val="24"/>
        </w:rPr>
      </w:pPr>
      <w:r>
        <w:t xml:space="preserve">But nevertheless </w:t>
      </w:r>
      <w:r>
        <w:rPr>
          <w:b w:val="0"/>
          <w:bCs w:val="0"/>
        </w:rPr>
        <w:t xml:space="preserve">(even though that </w:t>
      </w:r>
      <w:r>
        <w:rPr>
          <w:rFonts w:hint="cs"/>
          <w:b w:val="0"/>
          <w:bCs w:val="0"/>
          <w:rtl/>
        </w:rPr>
        <w:t>שפחתה</w:t>
      </w:r>
      <w:r>
        <w:rPr>
          <w:b w:val="0"/>
          <w:bCs w:val="0"/>
        </w:rPr>
        <w:t xml:space="preserve"> [who is generally not believed] is believed by </w:t>
      </w:r>
      <w:r>
        <w:rPr>
          <w:rFonts w:hint="cs"/>
          <w:b w:val="0"/>
          <w:bCs w:val="0"/>
          <w:rtl/>
        </w:rPr>
        <w:t>מסיחה לפי תומה</w:t>
      </w:r>
      <w:r>
        <w:rPr>
          <w:b w:val="0"/>
          <w:bCs w:val="0"/>
        </w:rPr>
        <w:t>, however)</w:t>
      </w:r>
      <w:r w:rsidR="00453513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the </w:t>
      </w:r>
      <w:r>
        <w:rPr>
          <w:rFonts w:hint="cs"/>
          <w:b w:val="0"/>
          <w:bCs w:val="0"/>
          <w:rtl/>
        </w:rPr>
        <w:t>שבויה</w:t>
      </w:r>
      <w:r>
        <w:rPr>
          <w:b w:val="0"/>
          <w:bCs w:val="0"/>
        </w:rPr>
        <w:t xml:space="preserve"> </w:t>
      </w:r>
      <w:r>
        <w:t xml:space="preserve">and her husband are not believed </w:t>
      </w:r>
      <w:r w:rsidRPr="00B7240B">
        <w:rPr>
          <w:b w:val="0"/>
          <w:bCs w:val="0"/>
          <w:sz w:val="24"/>
          <w:szCs w:val="24"/>
        </w:rPr>
        <w:t xml:space="preserve">even </w:t>
      </w:r>
      <w:r w:rsidRPr="00B7240B">
        <w:rPr>
          <w:rFonts w:hint="cs"/>
          <w:b w:val="0"/>
          <w:bCs w:val="0"/>
          <w:sz w:val="24"/>
          <w:szCs w:val="24"/>
          <w:rtl/>
        </w:rPr>
        <w:t>במל"ת</w:t>
      </w:r>
      <w:r w:rsidRPr="00B7240B">
        <w:rPr>
          <w:b w:val="0"/>
          <w:bCs w:val="0"/>
          <w:sz w:val="24"/>
          <w:szCs w:val="24"/>
        </w:rPr>
        <w:t xml:space="preserve"> to say that she was not defiled.</w:t>
      </w:r>
    </w:p>
    <w:p w:rsidR="00D93B0D" w:rsidRPr="00B7240B" w:rsidRDefault="00D93B0D" w:rsidP="00D93B0D">
      <w:pPr>
        <w:rPr>
          <w:b w:val="0"/>
          <w:bCs w:val="0"/>
          <w:sz w:val="24"/>
          <w:szCs w:val="24"/>
        </w:rPr>
      </w:pPr>
    </w:p>
    <w:p w:rsidR="00D93B0D" w:rsidRPr="00B7240B" w:rsidRDefault="00D93B0D" w:rsidP="00D93B0D">
      <w:pPr>
        <w:rPr>
          <w:b w:val="0"/>
          <w:bCs w:val="0"/>
          <w:sz w:val="24"/>
          <w:szCs w:val="24"/>
        </w:rPr>
      </w:pPr>
      <w:r w:rsidRPr="00B7240B">
        <w:rPr>
          <w:rFonts w:hint="cs"/>
          <w:b w:val="0"/>
          <w:bCs w:val="0"/>
          <w:sz w:val="24"/>
          <w:szCs w:val="24"/>
          <w:rtl/>
        </w:rPr>
        <w:t>תוספות</w:t>
      </w:r>
      <w:r w:rsidRPr="00B7240B">
        <w:rPr>
          <w:b w:val="0"/>
          <w:bCs w:val="0"/>
          <w:sz w:val="24"/>
          <w:szCs w:val="24"/>
        </w:rPr>
        <w:t xml:space="preserve"> anticipates a difficulty:</w:t>
      </w:r>
    </w:p>
    <w:p w:rsidR="00D8499A" w:rsidRPr="00B7240B" w:rsidRDefault="009C5809" w:rsidP="00B7240B">
      <w:pPr>
        <w:bidi/>
        <w:rPr>
          <w:rFonts w:cs="David"/>
        </w:rPr>
      </w:pPr>
      <w:r w:rsidRPr="00B7240B">
        <w:rPr>
          <w:rFonts w:cs="David"/>
          <w:rtl/>
        </w:rPr>
        <w:t>א</w:t>
      </w:r>
      <w:r w:rsidR="00D83268" w:rsidRPr="00B7240B">
        <w:rPr>
          <w:rFonts w:cs="David" w:hint="cs"/>
          <w:rtl/>
        </w:rPr>
        <w:t xml:space="preserve">ף </w:t>
      </w:r>
      <w:r w:rsidRPr="00B7240B">
        <w:rPr>
          <w:rFonts w:cs="David"/>
          <w:rtl/>
        </w:rPr>
        <w:t>ע</w:t>
      </w:r>
      <w:r w:rsidR="00D83268" w:rsidRPr="00B7240B">
        <w:rPr>
          <w:rFonts w:cs="David" w:hint="cs"/>
          <w:rtl/>
        </w:rPr>
        <w:t xml:space="preserve">ל </w:t>
      </w:r>
      <w:r w:rsidRPr="00B7240B">
        <w:rPr>
          <w:rFonts w:cs="David"/>
          <w:rtl/>
        </w:rPr>
        <w:t>ג</w:t>
      </w:r>
      <w:r w:rsidR="00D83268" w:rsidRPr="00B7240B">
        <w:rPr>
          <w:rFonts w:cs="David" w:hint="cs"/>
          <w:rtl/>
        </w:rPr>
        <w:t>ב</w:t>
      </w:r>
      <w:r w:rsidRPr="00B7240B">
        <w:rPr>
          <w:rFonts w:cs="David"/>
          <w:rtl/>
        </w:rPr>
        <w:t xml:space="preserve"> דיוחנן אוכל חלות </w:t>
      </w:r>
      <w:r w:rsidRPr="00B7240B">
        <w:rPr>
          <w:rFonts w:cs="David"/>
          <w:sz w:val="20"/>
          <w:szCs w:val="20"/>
          <w:rtl/>
        </w:rPr>
        <w:t>(לעיל דף כו</w:t>
      </w:r>
      <w:r w:rsidR="00D83268" w:rsidRPr="00B7240B">
        <w:rPr>
          <w:rFonts w:cs="David" w:hint="cs"/>
          <w:sz w:val="20"/>
          <w:szCs w:val="20"/>
          <w:rtl/>
        </w:rPr>
        <w:t>,א</w:t>
      </w:r>
      <w:r w:rsidRPr="00B7240B">
        <w:rPr>
          <w:rFonts w:cs="David"/>
          <w:sz w:val="20"/>
          <w:szCs w:val="20"/>
          <w:rtl/>
        </w:rPr>
        <w:t>)</w:t>
      </w:r>
      <w:r w:rsidRPr="00B7240B">
        <w:rPr>
          <w:rFonts w:cs="David"/>
          <w:rtl/>
        </w:rPr>
        <w:t xml:space="preserve"> היה נאמן על עצמו</w:t>
      </w:r>
      <w:r w:rsidR="00D93B0D" w:rsidRPr="00B7240B">
        <w:rPr>
          <w:rStyle w:val="FootnoteReference"/>
          <w:rFonts w:cs="David"/>
          <w:rtl/>
        </w:rPr>
        <w:footnoteReference w:id="1"/>
      </w:r>
      <w:r w:rsidRPr="00B7240B">
        <w:rPr>
          <w:rFonts w:cs="David"/>
          <w:rtl/>
        </w:rPr>
        <w:t xml:space="preserve"> במסיח לפי תומו </w:t>
      </w:r>
      <w:r w:rsidR="00B7240B">
        <w:rPr>
          <w:rFonts w:cs="David" w:hint="cs"/>
          <w:rtl/>
        </w:rPr>
        <w:t>-</w:t>
      </w:r>
    </w:p>
    <w:p w:rsidR="00D93B0D" w:rsidRPr="00B7240B" w:rsidRDefault="00D93B0D" w:rsidP="00D93B0D">
      <w:pPr>
        <w:rPr>
          <w:b w:val="0"/>
          <w:bCs w:val="0"/>
          <w:sz w:val="24"/>
          <w:szCs w:val="24"/>
        </w:rPr>
      </w:pPr>
      <w:r>
        <w:t xml:space="preserve">Even though </w:t>
      </w:r>
      <w:r>
        <w:rPr>
          <w:rFonts w:hint="cs"/>
          <w:rtl/>
        </w:rPr>
        <w:t>יוחנן אוכל חלות</w:t>
      </w:r>
      <w:r>
        <w:t xml:space="preserve"> was believed regarding himself </w:t>
      </w:r>
      <w:r>
        <w:rPr>
          <w:rFonts w:hint="cs"/>
          <w:rtl/>
        </w:rPr>
        <w:t>במל"ת</w:t>
      </w:r>
      <w:r>
        <w:t xml:space="preserve"> </w:t>
      </w:r>
      <w:r w:rsidRPr="00B7240B">
        <w:rPr>
          <w:b w:val="0"/>
          <w:bCs w:val="0"/>
          <w:sz w:val="24"/>
          <w:szCs w:val="24"/>
        </w:rPr>
        <w:t xml:space="preserve">regarding his </w:t>
      </w:r>
      <w:r w:rsidRPr="00B7240B">
        <w:rPr>
          <w:rFonts w:hint="cs"/>
          <w:b w:val="0"/>
          <w:bCs w:val="0"/>
          <w:sz w:val="24"/>
          <w:szCs w:val="24"/>
          <w:rtl/>
        </w:rPr>
        <w:t>כהונה</w:t>
      </w:r>
      <w:r w:rsidRPr="00B7240B">
        <w:rPr>
          <w:b w:val="0"/>
          <w:bCs w:val="0"/>
          <w:sz w:val="24"/>
          <w:szCs w:val="24"/>
        </w:rPr>
        <w:t xml:space="preserve"> status, so why by </w:t>
      </w:r>
      <w:r w:rsidRPr="00B7240B">
        <w:rPr>
          <w:rFonts w:hint="cs"/>
          <w:b w:val="0"/>
          <w:bCs w:val="0"/>
          <w:sz w:val="24"/>
          <w:szCs w:val="24"/>
          <w:rtl/>
        </w:rPr>
        <w:t>שבויה</w:t>
      </w:r>
      <w:r w:rsidRPr="00B7240B">
        <w:rPr>
          <w:b w:val="0"/>
          <w:bCs w:val="0"/>
          <w:sz w:val="24"/>
          <w:szCs w:val="24"/>
        </w:rPr>
        <w:t xml:space="preserve">, the captive and her husband are not believed </w:t>
      </w:r>
      <w:r w:rsidRPr="00B7240B">
        <w:rPr>
          <w:rFonts w:hint="cs"/>
          <w:b w:val="0"/>
          <w:bCs w:val="0"/>
          <w:sz w:val="24"/>
          <w:szCs w:val="24"/>
          <w:rtl/>
        </w:rPr>
        <w:t>במל"ת</w:t>
      </w:r>
      <w:r w:rsidRPr="00B7240B">
        <w:rPr>
          <w:b w:val="0"/>
          <w:bCs w:val="0"/>
          <w:sz w:val="24"/>
          <w:szCs w:val="24"/>
        </w:rPr>
        <w:t xml:space="preserve"> –</w:t>
      </w:r>
    </w:p>
    <w:p w:rsidR="00D93B0D" w:rsidRPr="00B7240B" w:rsidRDefault="00D93B0D" w:rsidP="00D93B0D">
      <w:pPr>
        <w:rPr>
          <w:b w:val="0"/>
          <w:bCs w:val="0"/>
          <w:sz w:val="24"/>
          <w:szCs w:val="24"/>
        </w:rPr>
      </w:pPr>
    </w:p>
    <w:p w:rsidR="00D93B0D" w:rsidRPr="00B7240B" w:rsidRDefault="00D93B0D" w:rsidP="00D93B0D">
      <w:pPr>
        <w:rPr>
          <w:b w:val="0"/>
          <w:bCs w:val="0"/>
          <w:sz w:val="24"/>
          <w:szCs w:val="24"/>
        </w:rPr>
      </w:pPr>
      <w:r w:rsidRPr="00B7240B">
        <w:rPr>
          <w:rFonts w:hint="cs"/>
          <w:b w:val="0"/>
          <w:bCs w:val="0"/>
          <w:sz w:val="24"/>
          <w:szCs w:val="24"/>
          <w:rtl/>
        </w:rPr>
        <w:t>תוספות</w:t>
      </w:r>
      <w:r w:rsidRPr="00B7240B">
        <w:rPr>
          <w:b w:val="0"/>
          <w:bCs w:val="0"/>
          <w:sz w:val="24"/>
          <w:szCs w:val="24"/>
        </w:rPr>
        <w:t xml:space="preserve"> replies:</w:t>
      </w:r>
    </w:p>
    <w:p w:rsidR="00D8499A" w:rsidRPr="00B7240B" w:rsidRDefault="009C5809" w:rsidP="00B7240B">
      <w:pPr>
        <w:bidi/>
        <w:rPr>
          <w:rFonts w:cs="David"/>
        </w:rPr>
      </w:pPr>
      <w:r w:rsidRPr="00B7240B">
        <w:rPr>
          <w:rFonts w:cs="David"/>
          <w:rtl/>
        </w:rPr>
        <w:t>הני מילי לתרומה</w:t>
      </w:r>
      <w:r w:rsidR="001C14AE" w:rsidRPr="00B7240B">
        <w:rPr>
          <w:rStyle w:val="FootnoteReference"/>
          <w:rFonts w:cs="David"/>
          <w:rtl/>
        </w:rPr>
        <w:footnoteReference w:id="2"/>
      </w:r>
      <w:r w:rsidRPr="00B7240B">
        <w:rPr>
          <w:rFonts w:cs="David"/>
          <w:rtl/>
        </w:rPr>
        <w:t xml:space="preserve"> אבל הכא מעלה עשו ביוחסין </w:t>
      </w:r>
      <w:r w:rsidR="00B7240B">
        <w:rPr>
          <w:rFonts w:cs="David" w:hint="cs"/>
          <w:rtl/>
        </w:rPr>
        <w:t>-</w:t>
      </w:r>
    </w:p>
    <w:p w:rsidR="00D93B0D" w:rsidRPr="00B7240B" w:rsidRDefault="00D93B0D" w:rsidP="00E75747">
      <w:pPr>
        <w:rPr>
          <w:b w:val="0"/>
          <w:bCs w:val="0"/>
          <w:sz w:val="24"/>
          <w:szCs w:val="24"/>
        </w:rPr>
      </w:pPr>
      <w:r>
        <w:t xml:space="preserve">When </w:t>
      </w:r>
      <w:r>
        <w:rPr>
          <w:b w:val="0"/>
          <w:bCs w:val="0"/>
        </w:rPr>
        <w:t>is the subject believed</w:t>
      </w:r>
      <w:r w:rsidR="00E75747">
        <w:rPr>
          <w:b w:val="0"/>
          <w:bCs w:val="0"/>
        </w:rPr>
        <w:t xml:space="preserve"> </w:t>
      </w:r>
      <w:r w:rsidR="00E75747">
        <w:rPr>
          <w:rFonts w:hint="cs"/>
          <w:b w:val="0"/>
          <w:bCs w:val="0"/>
          <w:rtl/>
        </w:rPr>
        <w:t>במסל"ת</w:t>
      </w:r>
      <w:r w:rsidR="00B7240B">
        <w:rPr>
          <w:b w:val="0"/>
          <w:bCs w:val="0"/>
        </w:rPr>
        <w:t>,</w:t>
      </w:r>
      <w:r>
        <w:rPr>
          <w:b w:val="0"/>
          <w:bCs w:val="0"/>
        </w:rPr>
        <w:t xml:space="preserve"> only </w:t>
      </w:r>
      <w:r>
        <w:t xml:space="preserve">regarding </w:t>
      </w:r>
      <w:r>
        <w:rPr>
          <w:rFonts w:hint="cs"/>
          <w:rtl/>
        </w:rPr>
        <w:t>תרומה</w:t>
      </w:r>
      <w:r>
        <w:t xml:space="preserve">, however here </w:t>
      </w:r>
      <w:r>
        <w:rPr>
          <w:b w:val="0"/>
          <w:bCs w:val="0"/>
        </w:rPr>
        <w:t xml:space="preserve">by </w:t>
      </w:r>
      <w:r>
        <w:rPr>
          <w:rFonts w:hint="cs"/>
          <w:b w:val="0"/>
          <w:bCs w:val="0"/>
          <w:rtl/>
        </w:rPr>
        <w:t>שבויה</w:t>
      </w:r>
      <w:r>
        <w:rPr>
          <w:b w:val="0"/>
          <w:bCs w:val="0"/>
        </w:rPr>
        <w:t xml:space="preserve">, </w:t>
      </w:r>
      <w:r>
        <w:t xml:space="preserve">they raised </w:t>
      </w:r>
      <w:r>
        <w:rPr>
          <w:b w:val="0"/>
          <w:bCs w:val="0"/>
        </w:rPr>
        <w:t xml:space="preserve">the bar and were more stringent </w:t>
      </w:r>
      <w:r>
        <w:t xml:space="preserve">regarding </w:t>
      </w:r>
      <w:r>
        <w:rPr>
          <w:rFonts w:hint="cs"/>
          <w:rtl/>
        </w:rPr>
        <w:t>יוחסין</w:t>
      </w:r>
      <w:r>
        <w:t xml:space="preserve">, </w:t>
      </w:r>
      <w:r w:rsidRPr="00B7240B">
        <w:rPr>
          <w:b w:val="0"/>
          <w:bCs w:val="0"/>
          <w:sz w:val="24"/>
          <w:szCs w:val="24"/>
        </w:rPr>
        <w:t xml:space="preserve">that by </w:t>
      </w:r>
      <w:r w:rsidRPr="00B7240B">
        <w:rPr>
          <w:rFonts w:hint="cs"/>
          <w:b w:val="0"/>
          <w:bCs w:val="0"/>
          <w:sz w:val="24"/>
          <w:szCs w:val="24"/>
          <w:rtl/>
        </w:rPr>
        <w:t>י</w:t>
      </w:r>
      <w:r w:rsidR="00E75747">
        <w:rPr>
          <w:rFonts w:hint="cs"/>
          <w:b w:val="0"/>
          <w:bCs w:val="0"/>
          <w:sz w:val="24"/>
          <w:szCs w:val="24"/>
          <w:rtl/>
        </w:rPr>
        <w:t>ו</w:t>
      </w:r>
      <w:r w:rsidRPr="00B7240B">
        <w:rPr>
          <w:rFonts w:hint="cs"/>
          <w:b w:val="0"/>
          <w:bCs w:val="0"/>
          <w:sz w:val="24"/>
          <w:szCs w:val="24"/>
          <w:rtl/>
        </w:rPr>
        <w:t>חסין</w:t>
      </w:r>
      <w:r w:rsidRPr="00B7240B">
        <w:rPr>
          <w:b w:val="0"/>
          <w:bCs w:val="0"/>
          <w:sz w:val="24"/>
          <w:szCs w:val="24"/>
        </w:rPr>
        <w:t xml:space="preserve"> even </w:t>
      </w:r>
      <w:r w:rsidRPr="00B7240B">
        <w:rPr>
          <w:rFonts w:hint="cs"/>
          <w:b w:val="0"/>
          <w:bCs w:val="0"/>
          <w:sz w:val="24"/>
          <w:szCs w:val="24"/>
          <w:rtl/>
        </w:rPr>
        <w:t>מסל"ת</w:t>
      </w:r>
      <w:r w:rsidRPr="00B7240B">
        <w:rPr>
          <w:b w:val="0"/>
          <w:bCs w:val="0"/>
          <w:sz w:val="24"/>
          <w:szCs w:val="24"/>
        </w:rPr>
        <w:t xml:space="preserve"> is not sufficient for the </w:t>
      </w:r>
      <w:r w:rsidRPr="00B7240B">
        <w:rPr>
          <w:rFonts w:hint="cs"/>
          <w:b w:val="0"/>
          <w:bCs w:val="0"/>
          <w:sz w:val="24"/>
          <w:szCs w:val="24"/>
          <w:rtl/>
        </w:rPr>
        <w:t>שבויה</w:t>
      </w:r>
      <w:r w:rsidRPr="00B7240B">
        <w:rPr>
          <w:b w:val="0"/>
          <w:bCs w:val="0"/>
          <w:sz w:val="24"/>
          <w:szCs w:val="24"/>
        </w:rPr>
        <w:t xml:space="preserve"> and her husband.</w:t>
      </w:r>
    </w:p>
    <w:p w:rsidR="00D8499A" w:rsidRPr="00B7240B" w:rsidRDefault="009C5809" w:rsidP="00B7240B">
      <w:pPr>
        <w:bidi/>
        <w:rPr>
          <w:rFonts w:cs="David"/>
          <w:rtl/>
        </w:rPr>
      </w:pPr>
      <w:r w:rsidRPr="00B7240B">
        <w:rPr>
          <w:rFonts w:cs="David"/>
          <w:rtl/>
        </w:rPr>
        <w:t>[אומר ר</w:t>
      </w:r>
      <w:r w:rsidR="00D93B0D" w:rsidRPr="00B7240B">
        <w:rPr>
          <w:rFonts w:cs="David" w:hint="cs"/>
          <w:rtl/>
        </w:rPr>
        <w:t xml:space="preserve">בינו </w:t>
      </w:r>
      <w:r w:rsidRPr="00B7240B">
        <w:rPr>
          <w:rFonts w:cs="David"/>
          <w:rtl/>
        </w:rPr>
        <w:t>י</w:t>
      </w:r>
      <w:r w:rsidR="00D93B0D" w:rsidRPr="00B7240B">
        <w:rPr>
          <w:rFonts w:cs="David" w:hint="cs"/>
          <w:rtl/>
        </w:rPr>
        <w:t>צחק</w:t>
      </w:r>
      <w:r w:rsidRPr="00B7240B">
        <w:rPr>
          <w:rFonts w:cs="David"/>
          <w:rtl/>
        </w:rPr>
        <w:t xml:space="preserve"> דמסיח לפי תומו אינו כשר אלא לעדות אשה</w:t>
      </w:r>
      <w:r w:rsidR="00D8499A" w:rsidRPr="00B7240B">
        <w:rPr>
          <w:rStyle w:val="FootnoteReference"/>
          <w:rFonts w:cs="David"/>
          <w:rtl/>
        </w:rPr>
        <w:footnoteReference w:id="3"/>
      </w:r>
      <w:r w:rsidRPr="00B7240B">
        <w:rPr>
          <w:rFonts w:cs="David"/>
          <w:rtl/>
        </w:rPr>
        <w:t xml:space="preserve"> דרבנן כדאמר ביבמות</w:t>
      </w:r>
      <w:r w:rsidR="001C14AE" w:rsidRPr="00B7240B">
        <w:rPr>
          <w:rStyle w:val="FootnoteReference"/>
          <w:rFonts w:cs="David"/>
          <w:rtl/>
        </w:rPr>
        <w:footnoteReference w:id="4"/>
      </w:r>
      <w:r w:rsidRPr="00B7240B">
        <w:rPr>
          <w:rFonts w:cs="David"/>
          <w:rtl/>
        </w:rPr>
        <w:t xml:space="preserve"> </w:t>
      </w:r>
      <w:r w:rsidR="00B7240B">
        <w:rPr>
          <w:rFonts w:cs="David" w:hint="cs"/>
          <w:rtl/>
        </w:rPr>
        <w:t>-</w:t>
      </w:r>
    </w:p>
    <w:p w:rsidR="00D93B0D" w:rsidRDefault="00D93B0D" w:rsidP="00DA20EF">
      <w:r>
        <w:t xml:space="preserve">The </w:t>
      </w:r>
      <w:r>
        <w:rPr>
          <w:rFonts w:hint="cs"/>
          <w:rtl/>
        </w:rPr>
        <w:t>ר"י</w:t>
      </w:r>
      <w:r>
        <w:t xml:space="preserve"> says that </w:t>
      </w:r>
      <w:r>
        <w:rPr>
          <w:rFonts w:hint="cs"/>
          <w:rtl/>
        </w:rPr>
        <w:t>מל"ת</w:t>
      </w:r>
      <w:r w:rsidR="00DA20EF">
        <w:t xml:space="preserve"> is only accepted for testifying for a woman </w:t>
      </w:r>
      <w:r w:rsidR="00DA20EF">
        <w:rPr>
          <w:b w:val="0"/>
          <w:bCs w:val="0"/>
        </w:rPr>
        <w:t>that her husband died (to permit her to remarry) [</w:t>
      </w:r>
      <w:r w:rsidR="00DA20EF">
        <w:t xml:space="preserve">or for a rabbinic law] as the </w:t>
      </w:r>
      <w:r w:rsidR="00DA20EF">
        <w:rPr>
          <w:rFonts w:hint="cs"/>
          <w:b w:val="0"/>
          <w:bCs w:val="0"/>
          <w:rtl/>
        </w:rPr>
        <w:t>גמרא</w:t>
      </w:r>
      <w:r w:rsidR="00DA20EF">
        <w:rPr>
          <w:b w:val="0"/>
          <w:bCs w:val="0"/>
        </w:rPr>
        <w:t xml:space="preserve"> </w:t>
      </w:r>
      <w:r w:rsidR="00DA20EF">
        <w:t xml:space="preserve">states in </w:t>
      </w:r>
      <w:r w:rsidR="00DA20EF">
        <w:rPr>
          <w:rFonts w:hint="cs"/>
          <w:b w:val="0"/>
          <w:bCs w:val="0"/>
          <w:rtl/>
        </w:rPr>
        <w:t xml:space="preserve">מס' </w:t>
      </w:r>
      <w:r w:rsidR="00DA20EF">
        <w:rPr>
          <w:rFonts w:hint="cs"/>
          <w:rtl/>
        </w:rPr>
        <w:t>יבמות</w:t>
      </w:r>
      <w:r w:rsidR="00DA20EF">
        <w:t xml:space="preserve"> -  </w:t>
      </w:r>
    </w:p>
    <w:p w:rsidR="009C5809" w:rsidRPr="00B7240B" w:rsidRDefault="009C5809" w:rsidP="00D8499A">
      <w:pPr>
        <w:bidi/>
        <w:rPr>
          <w:rFonts w:cs="David"/>
        </w:rPr>
      </w:pPr>
      <w:r w:rsidRPr="00B7240B">
        <w:rPr>
          <w:rFonts w:cs="David"/>
          <w:rtl/>
        </w:rPr>
        <w:t>והכא בשבויה הקילו</w:t>
      </w:r>
      <w:r w:rsidR="00D83268" w:rsidRPr="00B7240B">
        <w:rPr>
          <w:rFonts w:cs="David" w:hint="cs"/>
          <w:rtl/>
        </w:rPr>
        <w:t>]:</w:t>
      </w:r>
    </w:p>
    <w:p w:rsidR="00DA20EF" w:rsidRPr="00B7240B" w:rsidRDefault="00DA20EF" w:rsidP="00DA20EF">
      <w:pPr>
        <w:rPr>
          <w:b w:val="0"/>
          <w:bCs w:val="0"/>
          <w:sz w:val="24"/>
          <w:szCs w:val="24"/>
        </w:rPr>
      </w:pPr>
      <w:r>
        <w:t xml:space="preserve">And here by a </w:t>
      </w:r>
      <w:r>
        <w:rPr>
          <w:rFonts w:hint="cs"/>
          <w:rtl/>
        </w:rPr>
        <w:t>שבויה</w:t>
      </w:r>
      <w:r>
        <w:t xml:space="preserve"> [which is a </w:t>
      </w:r>
      <w:r>
        <w:rPr>
          <w:rFonts w:hint="cs"/>
          <w:rtl/>
        </w:rPr>
        <w:t>דרבנן</w:t>
      </w:r>
      <w:r>
        <w:t>]</w:t>
      </w:r>
      <w:r w:rsidR="001C14AE">
        <w:rPr>
          <w:rStyle w:val="FootnoteReference"/>
        </w:rPr>
        <w:footnoteReference w:id="5"/>
      </w:r>
      <w:r>
        <w:t xml:space="preserve"> they were lenient </w:t>
      </w:r>
      <w:r w:rsidRPr="00B7240B">
        <w:rPr>
          <w:b w:val="0"/>
          <w:bCs w:val="0"/>
          <w:sz w:val="24"/>
          <w:szCs w:val="24"/>
        </w:rPr>
        <w:t xml:space="preserve">and also accepted </w:t>
      </w:r>
      <w:r w:rsidRPr="00B7240B">
        <w:rPr>
          <w:rFonts w:hint="cs"/>
          <w:b w:val="0"/>
          <w:bCs w:val="0"/>
          <w:sz w:val="24"/>
          <w:szCs w:val="24"/>
          <w:rtl/>
        </w:rPr>
        <w:t>מסל"ת</w:t>
      </w:r>
      <w:r w:rsidRPr="00B7240B">
        <w:rPr>
          <w:b w:val="0"/>
          <w:bCs w:val="0"/>
          <w:sz w:val="24"/>
          <w:szCs w:val="24"/>
        </w:rPr>
        <w:t xml:space="preserve"> (except for her or her husband).</w:t>
      </w:r>
    </w:p>
    <w:p w:rsidR="003D4453" w:rsidRPr="00453513" w:rsidRDefault="003D4453" w:rsidP="009C5809">
      <w:pPr>
        <w:bidi/>
        <w:rPr>
          <w:sz w:val="24"/>
          <w:szCs w:val="24"/>
          <w:rtl/>
        </w:rPr>
      </w:pPr>
    </w:p>
    <w:p w:rsidR="00D83268" w:rsidRPr="00D83268" w:rsidRDefault="00D83268" w:rsidP="00D83268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D83268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D83268" w:rsidRDefault="002B463B" w:rsidP="00B7240B">
      <w:pPr>
        <w:rPr>
          <w:b w:val="0"/>
          <w:bCs w:val="0"/>
        </w:rPr>
      </w:pPr>
      <w:r>
        <w:rPr>
          <w:b w:val="0"/>
          <w:bCs w:val="0"/>
        </w:rPr>
        <w:lastRenderedPageBreak/>
        <w:t xml:space="preserve">The </w:t>
      </w:r>
      <w:r>
        <w:rPr>
          <w:rFonts w:hint="cs"/>
          <w:b w:val="0"/>
          <w:bCs w:val="0"/>
          <w:rtl/>
        </w:rPr>
        <w:t>שפחה</w:t>
      </w:r>
      <w:r>
        <w:rPr>
          <w:b w:val="0"/>
          <w:bCs w:val="0"/>
        </w:rPr>
        <w:t xml:space="preserve"> is believed </w:t>
      </w:r>
      <w:r w:rsidR="00E75747">
        <w:rPr>
          <w:rFonts w:hint="cs"/>
          <w:b w:val="0"/>
          <w:bCs w:val="0"/>
          <w:rtl/>
        </w:rPr>
        <w:t>ב</w:t>
      </w:r>
      <w:r>
        <w:rPr>
          <w:rFonts w:hint="cs"/>
          <w:b w:val="0"/>
          <w:bCs w:val="0"/>
          <w:rtl/>
        </w:rPr>
        <w:t>מל"ת</w:t>
      </w:r>
      <w:r>
        <w:rPr>
          <w:b w:val="0"/>
          <w:bCs w:val="0"/>
        </w:rPr>
        <w:t xml:space="preserve"> for her mistress but not the subject or her husband.</w:t>
      </w:r>
      <w:r w:rsidR="00B7240B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By </w:t>
      </w:r>
      <w:r>
        <w:rPr>
          <w:rFonts w:hint="cs"/>
          <w:b w:val="0"/>
          <w:bCs w:val="0"/>
          <w:rtl/>
        </w:rPr>
        <w:t>תרומה (דרבנן)</w:t>
      </w:r>
      <w:r>
        <w:rPr>
          <w:b w:val="0"/>
          <w:bCs w:val="0"/>
        </w:rPr>
        <w:t xml:space="preserve"> the subject is believed </w:t>
      </w:r>
      <w:r>
        <w:rPr>
          <w:rFonts w:hint="cs"/>
          <w:b w:val="0"/>
          <w:bCs w:val="0"/>
          <w:rtl/>
        </w:rPr>
        <w:t>מל"ת</w:t>
      </w:r>
      <w:r>
        <w:rPr>
          <w:b w:val="0"/>
          <w:bCs w:val="0"/>
        </w:rPr>
        <w:t xml:space="preserve">. </w:t>
      </w:r>
      <w:proofErr w:type="gramStart"/>
      <w:r>
        <w:rPr>
          <w:b w:val="0"/>
          <w:bCs w:val="0"/>
        </w:rPr>
        <w:t xml:space="preserve">Generally </w:t>
      </w:r>
      <w:r>
        <w:rPr>
          <w:rFonts w:hint="cs"/>
          <w:b w:val="0"/>
          <w:bCs w:val="0"/>
          <w:rtl/>
        </w:rPr>
        <w:t>מל"ת</w:t>
      </w:r>
      <w:r>
        <w:rPr>
          <w:b w:val="0"/>
          <w:bCs w:val="0"/>
        </w:rPr>
        <w:t xml:space="preserve"> is believed by a </w:t>
      </w:r>
      <w:r>
        <w:rPr>
          <w:rFonts w:hint="cs"/>
          <w:b w:val="0"/>
          <w:bCs w:val="0"/>
          <w:rtl/>
        </w:rPr>
        <w:t>דרבנן</w:t>
      </w:r>
      <w:r>
        <w:rPr>
          <w:b w:val="0"/>
          <w:bCs w:val="0"/>
        </w:rPr>
        <w:t xml:space="preserve"> or </w:t>
      </w:r>
      <w:r>
        <w:rPr>
          <w:rFonts w:hint="cs"/>
          <w:b w:val="0"/>
          <w:bCs w:val="0"/>
          <w:rtl/>
        </w:rPr>
        <w:t>שבויה</w:t>
      </w:r>
      <w:r>
        <w:rPr>
          <w:b w:val="0"/>
          <w:bCs w:val="0"/>
        </w:rPr>
        <w:t xml:space="preserve"> and also by </w:t>
      </w:r>
      <w:r>
        <w:rPr>
          <w:rFonts w:hint="cs"/>
          <w:b w:val="0"/>
          <w:bCs w:val="0"/>
          <w:rtl/>
        </w:rPr>
        <w:t>עדות אשה</w:t>
      </w:r>
      <w:r>
        <w:rPr>
          <w:b w:val="0"/>
          <w:bCs w:val="0"/>
        </w:rPr>
        <w:t>.</w:t>
      </w:r>
      <w:proofErr w:type="gramEnd"/>
    </w:p>
    <w:p w:rsidR="002B463B" w:rsidRPr="00453513" w:rsidRDefault="002B463B" w:rsidP="00D83268">
      <w:pPr>
        <w:rPr>
          <w:b w:val="0"/>
          <w:bCs w:val="0"/>
          <w:sz w:val="24"/>
          <w:szCs w:val="24"/>
          <w:rtl/>
        </w:rPr>
      </w:pPr>
    </w:p>
    <w:p w:rsidR="00D83268" w:rsidRPr="00D83268" w:rsidRDefault="00D83268" w:rsidP="00D83268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D83268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D83268" w:rsidRPr="00D83268" w:rsidRDefault="00B7240B" w:rsidP="00D83268">
      <w:pPr>
        <w:rPr>
          <w:b w:val="0"/>
          <w:bCs w:val="0"/>
        </w:rPr>
      </w:pPr>
      <w:r>
        <w:rPr>
          <w:b w:val="0"/>
          <w:bCs w:val="0"/>
        </w:rPr>
        <w:t>Previously</w:t>
      </w:r>
      <w:r>
        <w:rPr>
          <w:rStyle w:val="FootnoteReference"/>
          <w:b w:val="0"/>
          <w:bCs w:val="0"/>
        </w:rPr>
        <w:footnoteReference w:id="6"/>
      </w:r>
      <w:r>
        <w:rPr>
          <w:b w:val="0"/>
          <w:bCs w:val="0"/>
        </w:rPr>
        <w:t xml:space="preserve"> we leant that according to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we do not believe the testimony of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ע"א</w:t>
      </w:r>
      <w:r>
        <w:rPr>
          <w:b w:val="0"/>
          <w:bCs w:val="0"/>
        </w:rPr>
        <w:t xml:space="preserve"> regarding </w:t>
      </w:r>
      <w:r>
        <w:rPr>
          <w:rFonts w:hint="cs"/>
          <w:b w:val="0"/>
          <w:bCs w:val="0"/>
          <w:rtl/>
        </w:rPr>
        <w:t>כהונה</w:t>
      </w:r>
      <w:r>
        <w:rPr>
          <w:b w:val="0"/>
          <w:bCs w:val="0"/>
        </w:rPr>
        <w:t xml:space="preserve"> (for eating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); however an </w:t>
      </w:r>
      <w:r>
        <w:rPr>
          <w:rFonts w:hint="cs"/>
          <w:b w:val="0"/>
          <w:bCs w:val="0"/>
          <w:rtl/>
        </w:rPr>
        <w:t>ע"א</w:t>
      </w:r>
      <w:r>
        <w:rPr>
          <w:b w:val="0"/>
          <w:bCs w:val="0"/>
        </w:rPr>
        <w:t xml:space="preserve"> is believed regarding </w:t>
      </w:r>
      <w:r>
        <w:rPr>
          <w:rFonts w:hint="cs"/>
          <w:b w:val="0"/>
          <w:bCs w:val="0"/>
          <w:rtl/>
        </w:rPr>
        <w:t>שבויה</w:t>
      </w:r>
      <w:r>
        <w:rPr>
          <w:b w:val="0"/>
          <w:bCs w:val="0"/>
        </w:rPr>
        <w:t xml:space="preserve">; indicating that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is stricter than </w:t>
      </w:r>
      <w:r>
        <w:rPr>
          <w:rFonts w:hint="cs"/>
          <w:b w:val="0"/>
          <w:bCs w:val="0"/>
          <w:rtl/>
        </w:rPr>
        <w:t>שבויה</w:t>
      </w:r>
      <w:r>
        <w:rPr>
          <w:b w:val="0"/>
          <w:bCs w:val="0"/>
        </w:rPr>
        <w:t xml:space="preserve">. However here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rules that by </w:t>
      </w:r>
      <w:r>
        <w:rPr>
          <w:rFonts w:hint="cs"/>
          <w:b w:val="0"/>
          <w:bCs w:val="0"/>
          <w:rtl/>
        </w:rPr>
        <w:t>מל"ת</w:t>
      </w:r>
      <w:r>
        <w:rPr>
          <w:b w:val="0"/>
          <w:bCs w:val="0"/>
        </w:rPr>
        <w:t xml:space="preserve"> the subject is believed by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(the case of </w:t>
      </w:r>
      <w:r>
        <w:rPr>
          <w:rFonts w:hint="cs"/>
          <w:b w:val="0"/>
          <w:bCs w:val="0"/>
          <w:rtl/>
        </w:rPr>
        <w:t>יוחנן וכו'</w:t>
      </w:r>
      <w:r>
        <w:rPr>
          <w:b w:val="0"/>
          <w:bCs w:val="0"/>
        </w:rPr>
        <w:t xml:space="preserve">), but not by </w:t>
      </w:r>
      <w:r>
        <w:rPr>
          <w:rFonts w:hint="cs"/>
          <w:b w:val="0"/>
          <w:bCs w:val="0"/>
          <w:rtl/>
        </w:rPr>
        <w:t>שבויה</w:t>
      </w:r>
      <w:r>
        <w:rPr>
          <w:b w:val="0"/>
          <w:bCs w:val="0"/>
        </w:rPr>
        <w:t xml:space="preserve">; indicating that </w:t>
      </w:r>
      <w:r>
        <w:rPr>
          <w:rFonts w:hint="cs"/>
          <w:b w:val="0"/>
          <w:bCs w:val="0"/>
          <w:rtl/>
        </w:rPr>
        <w:t>שבויה</w:t>
      </w:r>
      <w:r>
        <w:rPr>
          <w:b w:val="0"/>
          <w:bCs w:val="0"/>
        </w:rPr>
        <w:t xml:space="preserve"> is stricter that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>. How can we reconcile these seemingly opposing rulings?</w:t>
      </w:r>
      <w:r>
        <w:rPr>
          <w:rStyle w:val="FootnoteReference"/>
          <w:b w:val="0"/>
          <w:bCs w:val="0"/>
        </w:rPr>
        <w:footnoteReference w:id="7"/>
      </w:r>
    </w:p>
    <w:sectPr w:rsidR="00D83268" w:rsidRPr="00D8326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3E3" w:rsidRDefault="00B153E3" w:rsidP="00D83268">
      <w:pPr>
        <w:spacing w:line="240" w:lineRule="auto"/>
      </w:pPr>
      <w:r>
        <w:separator/>
      </w:r>
    </w:p>
  </w:endnote>
  <w:endnote w:type="continuationSeparator" w:id="0">
    <w:p w:rsidR="00B153E3" w:rsidRDefault="00B153E3" w:rsidP="00D832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6690209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453513" w:rsidRDefault="00453513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453513">
          <w:rPr>
            <w:b w:val="0"/>
            <w:bCs w:val="0"/>
            <w:sz w:val="20"/>
            <w:szCs w:val="20"/>
          </w:rPr>
          <w:fldChar w:fldCharType="begin"/>
        </w:r>
        <w:r w:rsidRPr="00453513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453513">
          <w:rPr>
            <w:b w:val="0"/>
            <w:bCs w:val="0"/>
            <w:sz w:val="20"/>
            <w:szCs w:val="20"/>
          </w:rPr>
          <w:fldChar w:fldCharType="separate"/>
        </w:r>
        <w:r w:rsidR="006D227F">
          <w:rPr>
            <w:b w:val="0"/>
            <w:bCs w:val="0"/>
            <w:noProof/>
            <w:sz w:val="20"/>
            <w:szCs w:val="20"/>
          </w:rPr>
          <w:t>1</w:t>
        </w:r>
        <w:r w:rsidRPr="00453513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453513" w:rsidRPr="00453513" w:rsidRDefault="00453513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453513" w:rsidRDefault="004535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3E3" w:rsidRDefault="00B153E3" w:rsidP="00D83268">
      <w:pPr>
        <w:spacing w:line="240" w:lineRule="auto"/>
      </w:pPr>
      <w:r>
        <w:separator/>
      </w:r>
    </w:p>
  </w:footnote>
  <w:footnote w:type="continuationSeparator" w:id="0">
    <w:p w:rsidR="00B153E3" w:rsidRDefault="00B153E3" w:rsidP="00D83268">
      <w:pPr>
        <w:spacing w:line="240" w:lineRule="auto"/>
      </w:pPr>
      <w:r>
        <w:continuationSeparator/>
      </w:r>
    </w:p>
  </w:footnote>
  <w:footnote w:id="1">
    <w:p w:rsidR="00D93B0D" w:rsidRPr="00B7240B" w:rsidRDefault="00D93B0D" w:rsidP="00B7240B">
      <w:pPr>
        <w:pStyle w:val="FootnoteText"/>
        <w:spacing w:line="264" w:lineRule="auto"/>
        <w:rPr>
          <w:b w:val="0"/>
          <w:bCs w:val="0"/>
        </w:rPr>
      </w:pPr>
      <w:r w:rsidRPr="00B7240B">
        <w:rPr>
          <w:rStyle w:val="FootnoteReference"/>
          <w:b w:val="0"/>
          <w:bCs w:val="0"/>
        </w:rPr>
        <w:footnoteRef/>
      </w:r>
      <w:r w:rsidRPr="00B7240B">
        <w:rPr>
          <w:b w:val="0"/>
          <w:bCs w:val="0"/>
        </w:rPr>
        <w:t xml:space="preserve"> </w:t>
      </w:r>
      <w:r w:rsidRPr="00B7240B">
        <w:rPr>
          <w:rFonts w:hint="cs"/>
          <w:b w:val="0"/>
          <w:bCs w:val="0"/>
          <w:rtl/>
        </w:rPr>
        <w:t>יוחנן</w:t>
      </w:r>
      <w:r w:rsidRPr="00B7240B">
        <w:rPr>
          <w:b w:val="0"/>
          <w:bCs w:val="0"/>
        </w:rPr>
        <w:t xml:space="preserve"> recounted how as a child they would take him from school and immerse him and a </w:t>
      </w:r>
      <w:r w:rsidRPr="00B7240B">
        <w:rPr>
          <w:rFonts w:hint="cs"/>
          <w:b w:val="0"/>
          <w:bCs w:val="0"/>
          <w:rtl/>
        </w:rPr>
        <w:t>מקוה</w:t>
      </w:r>
      <w:r w:rsidRPr="00B7240B">
        <w:rPr>
          <w:b w:val="0"/>
          <w:bCs w:val="0"/>
        </w:rPr>
        <w:t xml:space="preserve"> and feed him </w:t>
      </w:r>
      <w:r w:rsidRPr="00B7240B">
        <w:rPr>
          <w:rFonts w:hint="cs"/>
          <w:b w:val="0"/>
          <w:bCs w:val="0"/>
          <w:rtl/>
        </w:rPr>
        <w:t>תרומה</w:t>
      </w:r>
      <w:r w:rsidRPr="00B7240B">
        <w:rPr>
          <w:b w:val="0"/>
          <w:bCs w:val="0"/>
        </w:rPr>
        <w:t xml:space="preserve">. This was an accepted testimony since he said it </w:t>
      </w:r>
      <w:r w:rsidRPr="00B7240B">
        <w:rPr>
          <w:rFonts w:hint="cs"/>
          <w:b w:val="0"/>
          <w:bCs w:val="0"/>
          <w:rtl/>
        </w:rPr>
        <w:t>מסל"ת</w:t>
      </w:r>
      <w:r w:rsidRPr="00B7240B">
        <w:rPr>
          <w:b w:val="0"/>
          <w:bCs w:val="0"/>
        </w:rPr>
        <w:t>.</w:t>
      </w:r>
    </w:p>
  </w:footnote>
  <w:footnote w:id="2">
    <w:p w:rsidR="001C14AE" w:rsidRPr="00B7240B" w:rsidRDefault="001C14AE" w:rsidP="00B7240B">
      <w:pPr>
        <w:pStyle w:val="FootnoteText"/>
        <w:spacing w:line="264" w:lineRule="auto"/>
        <w:rPr>
          <w:b w:val="0"/>
          <w:bCs w:val="0"/>
        </w:rPr>
      </w:pPr>
      <w:r w:rsidRPr="00B7240B">
        <w:rPr>
          <w:rStyle w:val="FootnoteReference"/>
          <w:b w:val="0"/>
          <w:bCs w:val="0"/>
        </w:rPr>
        <w:footnoteRef/>
      </w:r>
      <w:r w:rsidRPr="00B7240B">
        <w:rPr>
          <w:b w:val="0"/>
          <w:bCs w:val="0"/>
        </w:rPr>
        <w:t xml:space="preserve"> See </w:t>
      </w:r>
      <w:r w:rsidRPr="00B7240B">
        <w:rPr>
          <w:rFonts w:hint="cs"/>
          <w:b w:val="0"/>
          <w:bCs w:val="0"/>
          <w:rtl/>
        </w:rPr>
        <w:t>ב"ק קיד</w:t>
      </w:r>
      <w:proofErr w:type="gramStart"/>
      <w:r w:rsidRPr="00B7240B">
        <w:rPr>
          <w:rFonts w:hint="cs"/>
          <w:b w:val="0"/>
          <w:bCs w:val="0"/>
          <w:rtl/>
        </w:rPr>
        <w:t>,ב</w:t>
      </w:r>
      <w:proofErr w:type="gramEnd"/>
      <w:r w:rsidRPr="00B7240B">
        <w:rPr>
          <w:b w:val="0"/>
          <w:bCs w:val="0"/>
        </w:rPr>
        <w:t xml:space="preserve"> that the </w:t>
      </w:r>
      <w:r w:rsidRPr="00B7240B">
        <w:rPr>
          <w:rFonts w:hint="cs"/>
          <w:b w:val="0"/>
          <w:bCs w:val="0"/>
          <w:rtl/>
        </w:rPr>
        <w:t>היתר תרומה</w:t>
      </w:r>
      <w:r w:rsidRPr="00B7240B">
        <w:rPr>
          <w:b w:val="0"/>
          <w:bCs w:val="0"/>
        </w:rPr>
        <w:t xml:space="preserve"> for </w:t>
      </w:r>
      <w:r w:rsidRPr="00B7240B">
        <w:rPr>
          <w:rFonts w:hint="cs"/>
          <w:b w:val="0"/>
          <w:bCs w:val="0"/>
          <w:rtl/>
        </w:rPr>
        <w:t>יוחנן אוכל חלות</w:t>
      </w:r>
      <w:r w:rsidRPr="00B7240B">
        <w:rPr>
          <w:b w:val="0"/>
          <w:bCs w:val="0"/>
        </w:rPr>
        <w:t xml:space="preserve">, was (only) for </w:t>
      </w:r>
      <w:r w:rsidRPr="00B7240B">
        <w:rPr>
          <w:rFonts w:hint="cs"/>
          <w:b w:val="0"/>
          <w:bCs w:val="0"/>
          <w:rtl/>
        </w:rPr>
        <w:t>תרומה דרבנן</w:t>
      </w:r>
      <w:r w:rsidRPr="00B7240B">
        <w:rPr>
          <w:b w:val="0"/>
          <w:bCs w:val="0"/>
        </w:rPr>
        <w:t>.</w:t>
      </w:r>
    </w:p>
  </w:footnote>
  <w:footnote w:id="3">
    <w:p w:rsidR="00D8499A" w:rsidRPr="00B7240B" w:rsidRDefault="00D8499A" w:rsidP="00B7240B">
      <w:pPr>
        <w:pStyle w:val="FootnoteText"/>
        <w:spacing w:line="264" w:lineRule="auto"/>
        <w:rPr>
          <w:b w:val="0"/>
          <w:bCs w:val="0"/>
          <w:spacing w:val="-2"/>
        </w:rPr>
      </w:pPr>
      <w:r w:rsidRPr="00B7240B">
        <w:rPr>
          <w:rStyle w:val="FootnoteReference"/>
          <w:b w:val="0"/>
          <w:bCs w:val="0"/>
          <w:spacing w:val="-2"/>
        </w:rPr>
        <w:footnoteRef/>
      </w:r>
      <w:r w:rsidRPr="00B7240B">
        <w:rPr>
          <w:b w:val="0"/>
          <w:bCs w:val="0"/>
          <w:spacing w:val="-2"/>
        </w:rPr>
        <w:t xml:space="preserve"> The </w:t>
      </w:r>
      <w:r w:rsidRPr="00B7240B">
        <w:rPr>
          <w:rFonts w:hint="cs"/>
          <w:b w:val="0"/>
          <w:bCs w:val="0"/>
          <w:spacing w:val="-2"/>
          <w:rtl/>
        </w:rPr>
        <w:t>מהר"י לנדא</w:t>
      </w:r>
      <w:r w:rsidRPr="00B7240B">
        <w:rPr>
          <w:b w:val="0"/>
          <w:bCs w:val="0"/>
          <w:spacing w:val="-2"/>
        </w:rPr>
        <w:t xml:space="preserve"> amends this to read; </w:t>
      </w:r>
      <w:r w:rsidRPr="00B7240B">
        <w:rPr>
          <w:rFonts w:hint="cs"/>
          <w:b w:val="0"/>
          <w:bCs w:val="0"/>
          <w:spacing w:val="-2"/>
          <w:rtl/>
        </w:rPr>
        <w:t xml:space="preserve">אשה כדאמר ביבמות והכא בשבויה </w:t>
      </w:r>
      <w:r w:rsidRPr="00453513">
        <w:rPr>
          <w:rFonts w:hint="cs"/>
          <w:b w:val="0"/>
          <w:bCs w:val="0"/>
          <w:spacing w:val="-2"/>
          <w:u w:val="single"/>
          <w:rtl/>
        </w:rPr>
        <w:t>דרבנן</w:t>
      </w:r>
      <w:r w:rsidRPr="00B7240B">
        <w:rPr>
          <w:rFonts w:hint="cs"/>
          <w:b w:val="0"/>
          <w:bCs w:val="0"/>
          <w:spacing w:val="-2"/>
          <w:rtl/>
        </w:rPr>
        <w:t xml:space="preserve"> הקילו</w:t>
      </w:r>
      <w:r w:rsidRPr="00B7240B">
        <w:rPr>
          <w:b w:val="0"/>
          <w:bCs w:val="0"/>
          <w:spacing w:val="-2"/>
        </w:rPr>
        <w:t xml:space="preserve">. The </w:t>
      </w:r>
      <w:r w:rsidRPr="00B7240B">
        <w:rPr>
          <w:rFonts w:hint="cs"/>
          <w:b w:val="0"/>
          <w:bCs w:val="0"/>
          <w:spacing w:val="-2"/>
          <w:rtl/>
        </w:rPr>
        <w:t>רש"ש</w:t>
      </w:r>
      <w:r w:rsidRPr="00B7240B">
        <w:rPr>
          <w:b w:val="0"/>
          <w:bCs w:val="0"/>
          <w:spacing w:val="-2"/>
        </w:rPr>
        <w:t xml:space="preserve"> amends it to read; </w:t>
      </w:r>
      <w:r w:rsidRPr="00B7240B">
        <w:rPr>
          <w:rFonts w:hint="cs"/>
          <w:b w:val="0"/>
          <w:bCs w:val="0"/>
          <w:spacing w:val="-2"/>
          <w:rtl/>
        </w:rPr>
        <w:t xml:space="preserve">אשה </w:t>
      </w:r>
      <w:r w:rsidRPr="00453513">
        <w:rPr>
          <w:rFonts w:hint="cs"/>
          <w:spacing w:val="-2"/>
          <w:u w:val="single"/>
          <w:rtl/>
        </w:rPr>
        <w:t>או</w:t>
      </w:r>
      <w:r w:rsidRPr="00B7240B">
        <w:rPr>
          <w:rFonts w:hint="cs"/>
          <w:b w:val="0"/>
          <w:bCs w:val="0"/>
          <w:spacing w:val="-2"/>
          <w:rtl/>
        </w:rPr>
        <w:t xml:space="preserve"> דרבנן</w:t>
      </w:r>
      <w:r w:rsidRPr="00B7240B">
        <w:rPr>
          <w:b w:val="0"/>
          <w:bCs w:val="0"/>
          <w:spacing w:val="-2"/>
        </w:rPr>
        <w:t xml:space="preserve"> </w:t>
      </w:r>
    </w:p>
  </w:footnote>
  <w:footnote w:id="4">
    <w:p w:rsidR="001C14AE" w:rsidRPr="00B7240B" w:rsidRDefault="001C14AE" w:rsidP="00B7240B">
      <w:pPr>
        <w:pStyle w:val="FootnoteText"/>
        <w:spacing w:line="264" w:lineRule="auto"/>
        <w:rPr>
          <w:b w:val="0"/>
          <w:bCs w:val="0"/>
        </w:rPr>
      </w:pPr>
      <w:r w:rsidRPr="00B7240B">
        <w:rPr>
          <w:rStyle w:val="FootnoteReference"/>
          <w:b w:val="0"/>
          <w:bCs w:val="0"/>
        </w:rPr>
        <w:footnoteRef/>
      </w:r>
      <w:r w:rsidRPr="00B7240B">
        <w:rPr>
          <w:b w:val="0"/>
          <w:bCs w:val="0"/>
        </w:rPr>
        <w:t xml:space="preserve"> </w:t>
      </w:r>
      <w:r w:rsidRPr="00B7240B">
        <w:rPr>
          <w:rFonts w:hint="cs"/>
          <w:b w:val="0"/>
          <w:bCs w:val="0"/>
          <w:rtl/>
        </w:rPr>
        <w:t>קכא,ב</w:t>
      </w:r>
      <w:r w:rsidRPr="00B7240B">
        <w:rPr>
          <w:b w:val="0"/>
          <w:bCs w:val="0"/>
        </w:rPr>
        <w:t xml:space="preserve">. The </w:t>
      </w:r>
      <w:r w:rsidRPr="00B7240B">
        <w:rPr>
          <w:rFonts w:hint="cs"/>
          <w:b w:val="0"/>
          <w:bCs w:val="0"/>
          <w:rtl/>
        </w:rPr>
        <w:t>גמרא</w:t>
      </w:r>
      <w:r w:rsidRPr="00B7240B">
        <w:rPr>
          <w:b w:val="0"/>
          <w:bCs w:val="0"/>
        </w:rPr>
        <w:t xml:space="preserve"> there says that a </w:t>
      </w:r>
      <w:r w:rsidRPr="00B7240B">
        <w:rPr>
          <w:rFonts w:hint="cs"/>
          <w:b w:val="0"/>
          <w:bCs w:val="0"/>
          <w:rtl/>
        </w:rPr>
        <w:t>גוי</w:t>
      </w:r>
      <w:r w:rsidRPr="00B7240B">
        <w:rPr>
          <w:b w:val="0"/>
          <w:bCs w:val="0"/>
        </w:rPr>
        <w:t xml:space="preserve"> is believed for </w:t>
      </w:r>
      <w:r w:rsidRPr="00B7240B">
        <w:rPr>
          <w:rFonts w:hint="cs"/>
          <w:b w:val="0"/>
          <w:bCs w:val="0"/>
          <w:rtl/>
        </w:rPr>
        <w:t>עדות אשה</w:t>
      </w:r>
      <w:r w:rsidRPr="00B7240B">
        <w:rPr>
          <w:b w:val="0"/>
          <w:bCs w:val="0"/>
        </w:rPr>
        <w:t xml:space="preserve"> by </w:t>
      </w:r>
      <w:r w:rsidRPr="00B7240B">
        <w:rPr>
          <w:rFonts w:hint="cs"/>
          <w:b w:val="0"/>
          <w:bCs w:val="0"/>
          <w:rtl/>
        </w:rPr>
        <w:t>מל"ת</w:t>
      </w:r>
      <w:r w:rsidRPr="00B7240B">
        <w:rPr>
          <w:b w:val="0"/>
          <w:bCs w:val="0"/>
        </w:rPr>
        <w:t>.</w:t>
      </w:r>
    </w:p>
  </w:footnote>
  <w:footnote w:id="5">
    <w:p w:rsidR="001C14AE" w:rsidRPr="00453513" w:rsidRDefault="001C14AE" w:rsidP="00B7240B">
      <w:pPr>
        <w:pStyle w:val="FootnoteText"/>
        <w:spacing w:line="264" w:lineRule="auto"/>
        <w:rPr>
          <w:b w:val="0"/>
          <w:bCs w:val="0"/>
          <w:spacing w:val="-2"/>
        </w:rPr>
      </w:pPr>
      <w:r w:rsidRPr="00453513">
        <w:rPr>
          <w:rStyle w:val="FootnoteReference"/>
          <w:b w:val="0"/>
          <w:bCs w:val="0"/>
          <w:spacing w:val="-2"/>
        </w:rPr>
        <w:footnoteRef/>
      </w:r>
      <w:r w:rsidRPr="00453513">
        <w:rPr>
          <w:b w:val="0"/>
          <w:bCs w:val="0"/>
          <w:spacing w:val="-2"/>
        </w:rPr>
        <w:t xml:space="preserve"> </w:t>
      </w:r>
      <w:r w:rsidR="00B11741" w:rsidRPr="00453513">
        <w:rPr>
          <w:b w:val="0"/>
          <w:bCs w:val="0"/>
          <w:spacing w:val="-2"/>
        </w:rPr>
        <w:t xml:space="preserve">See footnote # 3. </w:t>
      </w:r>
      <w:r w:rsidRPr="00453513">
        <w:rPr>
          <w:b w:val="0"/>
          <w:bCs w:val="0"/>
          <w:spacing w:val="-2"/>
        </w:rPr>
        <w:t xml:space="preserve">A </w:t>
      </w:r>
      <w:r w:rsidRPr="00453513">
        <w:rPr>
          <w:rFonts w:hint="cs"/>
          <w:b w:val="0"/>
          <w:bCs w:val="0"/>
          <w:spacing w:val="-2"/>
          <w:rtl/>
        </w:rPr>
        <w:t>שבויה</w:t>
      </w:r>
      <w:r w:rsidRPr="00453513">
        <w:rPr>
          <w:b w:val="0"/>
          <w:bCs w:val="0"/>
          <w:spacing w:val="-2"/>
        </w:rPr>
        <w:t xml:space="preserve"> is </w:t>
      </w:r>
      <w:r w:rsidRPr="00453513">
        <w:rPr>
          <w:rFonts w:hint="cs"/>
          <w:b w:val="0"/>
          <w:bCs w:val="0"/>
          <w:spacing w:val="-2"/>
          <w:rtl/>
        </w:rPr>
        <w:t>אסורה לכהן</w:t>
      </w:r>
      <w:r w:rsidR="00B11741" w:rsidRPr="00453513">
        <w:rPr>
          <w:b w:val="0"/>
          <w:bCs w:val="0"/>
          <w:spacing w:val="-2"/>
        </w:rPr>
        <w:t xml:space="preserve"> only </w:t>
      </w:r>
      <w:r w:rsidRPr="00453513">
        <w:rPr>
          <w:rFonts w:hint="cs"/>
          <w:b w:val="0"/>
          <w:bCs w:val="0"/>
          <w:spacing w:val="-2"/>
          <w:rtl/>
        </w:rPr>
        <w:t>מ</w:t>
      </w:r>
      <w:r w:rsidR="00B11741" w:rsidRPr="00453513">
        <w:rPr>
          <w:rFonts w:hint="cs"/>
          <w:b w:val="0"/>
          <w:bCs w:val="0"/>
          <w:spacing w:val="-2"/>
          <w:rtl/>
        </w:rPr>
        <w:t>ספק</w:t>
      </w:r>
      <w:r w:rsidR="00B11741" w:rsidRPr="00453513">
        <w:rPr>
          <w:b w:val="0"/>
          <w:bCs w:val="0"/>
          <w:spacing w:val="-2"/>
        </w:rPr>
        <w:t xml:space="preserve">, </w:t>
      </w:r>
      <w:r w:rsidRPr="00453513">
        <w:rPr>
          <w:b w:val="0"/>
          <w:bCs w:val="0"/>
          <w:spacing w:val="-2"/>
        </w:rPr>
        <w:t>since we do not know</w:t>
      </w:r>
      <w:r w:rsidR="00B11741" w:rsidRPr="00453513">
        <w:rPr>
          <w:b w:val="0"/>
          <w:bCs w:val="0"/>
          <w:spacing w:val="-2"/>
        </w:rPr>
        <w:t xml:space="preserve"> for certain</w:t>
      </w:r>
      <w:r w:rsidRPr="00453513">
        <w:rPr>
          <w:b w:val="0"/>
          <w:bCs w:val="0"/>
          <w:spacing w:val="-2"/>
        </w:rPr>
        <w:t xml:space="preserve"> if she was </w:t>
      </w:r>
      <w:r w:rsidRPr="00453513">
        <w:rPr>
          <w:rFonts w:hint="cs"/>
          <w:b w:val="0"/>
          <w:bCs w:val="0"/>
          <w:spacing w:val="-2"/>
          <w:rtl/>
        </w:rPr>
        <w:t>נבעלה</w:t>
      </w:r>
      <w:r w:rsidRPr="00453513">
        <w:rPr>
          <w:b w:val="0"/>
          <w:bCs w:val="0"/>
          <w:spacing w:val="-2"/>
        </w:rPr>
        <w:t xml:space="preserve"> and became a </w:t>
      </w:r>
      <w:r w:rsidRPr="00453513">
        <w:rPr>
          <w:rFonts w:hint="cs"/>
          <w:b w:val="0"/>
          <w:bCs w:val="0"/>
          <w:spacing w:val="-2"/>
          <w:rtl/>
        </w:rPr>
        <w:t>זונה</w:t>
      </w:r>
      <w:r w:rsidRPr="00453513">
        <w:rPr>
          <w:b w:val="0"/>
          <w:bCs w:val="0"/>
          <w:spacing w:val="-2"/>
        </w:rPr>
        <w:t>.</w:t>
      </w:r>
    </w:p>
  </w:footnote>
  <w:footnote w:id="6">
    <w:p w:rsidR="00B7240B" w:rsidRPr="00B7240B" w:rsidRDefault="00B7240B" w:rsidP="00B7240B">
      <w:pPr>
        <w:pStyle w:val="FootnoteText"/>
        <w:spacing w:line="264" w:lineRule="auto"/>
        <w:rPr>
          <w:b w:val="0"/>
          <w:bCs w:val="0"/>
        </w:rPr>
      </w:pPr>
      <w:r w:rsidRPr="00B7240B">
        <w:rPr>
          <w:rStyle w:val="FootnoteReference"/>
          <w:b w:val="0"/>
          <w:bCs w:val="0"/>
        </w:rPr>
        <w:footnoteRef/>
      </w:r>
      <w:r w:rsidRPr="00B7240B">
        <w:rPr>
          <w:b w:val="0"/>
          <w:bCs w:val="0"/>
        </w:rPr>
        <w:t xml:space="preserve"> </w:t>
      </w:r>
      <w:r w:rsidRPr="00B7240B">
        <w:rPr>
          <w:rFonts w:hint="cs"/>
          <w:b w:val="0"/>
          <w:bCs w:val="0"/>
          <w:rtl/>
        </w:rPr>
        <w:t>כג,ב</w:t>
      </w:r>
      <w:r w:rsidRPr="00B7240B">
        <w:rPr>
          <w:b w:val="0"/>
          <w:bCs w:val="0"/>
        </w:rPr>
        <w:t>.</w:t>
      </w:r>
    </w:p>
  </w:footnote>
  <w:footnote w:id="7">
    <w:p w:rsidR="00B7240B" w:rsidRPr="00B7240B" w:rsidRDefault="00B7240B" w:rsidP="00B7240B">
      <w:pPr>
        <w:pStyle w:val="FootnoteText"/>
        <w:spacing w:line="264" w:lineRule="auto"/>
        <w:rPr>
          <w:b w:val="0"/>
          <w:bCs w:val="0"/>
        </w:rPr>
      </w:pPr>
      <w:r w:rsidRPr="00B7240B">
        <w:rPr>
          <w:rStyle w:val="FootnoteReference"/>
          <w:b w:val="0"/>
          <w:bCs w:val="0"/>
        </w:rPr>
        <w:footnoteRef/>
      </w:r>
      <w:r w:rsidRPr="00B7240B">
        <w:rPr>
          <w:b w:val="0"/>
          <w:bCs w:val="0"/>
        </w:rPr>
        <w:t xml:space="preserve"> See (</w:t>
      </w:r>
      <w:r w:rsidRPr="00B7240B">
        <w:rPr>
          <w:rFonts w:hint="cs"/>
          <w:b w:val="0"/>
          <w:bCs w:val="0"/>
          <w:rtl/>
        </w:rPr>
        <w:t>מהרש"א</w:t>
      </w:r>
      <w:r w:rsidRPr="00B7240B">
        <w:rPr>
          <w:b w:val="0"/>
          <w:bCs w:val="0"/>
        </w:rPr>
        <w:t xml:space="preserve"> here and) </w:t>
      </w:r>
      <w:r w:rsidRPr="00B7240B">
        <w:rPr>
          <w:rFonts w:hint="cs"/>
          <w:b w:val="0"/>
          <w:bCs w:val="0"/>
          <w:rtl/>
        </w:rPr>
        <w:t>תוס' כד</w:t>
      </w:r>
      <w:proofErr w:type="gramStart"/>
      <w:r w:rsidRPr="00B7240B">
        <w:rPr>
          <w:rFonts w:hint="cs"/>
          <w:b w:val="0"/>
          <w:bCs w:val="0"/>
          <w:rtl/>
        </w:rPr>
        <w:t>,א</w:t>
      </w:r>
      <w:proofErr w:type="gramEnd"/>
      <w:r w:rsidRPr="00B7240B">
        <w:rPr>
          <w:rFonts w:hint="cs"/>
          <w:b w:val="0"/>
          <w:bCs w:val="0"/>
          <w:rtl/>
        </w:rPr>
        <w:t xml:space="preserve"> ד"ה וכן</w:t>
      </w:r>
      <w:r w:rsidRPr="00B7240B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268" w:rsidRPr="00D83268" w:rsidRDefault="00D83268" w:rsidP="00D83268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כז,ב תוס' ד"ה במסיחה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809"/>
    <w:rsid w:val="000E1BCE"/>
    <w:rsid w:val="001B3C65"/>
    <w:rsid w:val="001C14AE"/>
    <w:rsid w:val="002065BC"/>
    <w:rsid w:val="002B463B"/>
    <w:rsid w:val="002B55FD"/>
    <w:rsid w:val="00310E94"/>
    <w:rsid w:val="00382142"/>
    <w:rsid w:val="003B00A0"/>
    <w:rsid w:val="003D4453"/>
    <w:rsid w:val="00453513"/>
    <w:rsid w:val="006D227F"/>
    <w:rsid w:val="007E2915"/>
    <w:rsid w:val="008A280C"/>
    <w:rsid w:val="009C5809"/>
    <w:rsid w:val="00B11741"/>
    <w:rsid w:val="00B153E3"/>
    <w:rsid w:val="00B7240B"/>
    <w:rsid w:val="00C00113"/>
    <w:rsid w:val="00D83268"/>
    <w:rsid w:val="00D8499A"/>
    <w:rsid w:val="00D93B0D"/>
    <w:rsid w:val="00DA20EF"/>
    <w:rsid w:val="00E75747"/>
    <w:rsid w:val="00F9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2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268"/>
  </w:style>
  <w:style w:type="paragraph" w:styleId="Footer">
    <w:name w:val="footer"/>
    <w:basedOn w:val="Normal"/>
    <w:link w:val="FooterChar"/>
    <w:uiPriority w:val="99"/>
    <w:unhideWhenUsed/>
    <w:rsid w:val="00D832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268"/>
  </w:style>
  <w:style w:type="paragraph" w:styleId="FootnoteText">
    <w:name w:val="footnote text"/>
    <w:basedOn w:val="Normal"/>
    <w:link w:val="FootnoteTextChar"/>
    <w:uiPriority w:val="99"/>
    <w:semiHidden/>
    <w:unhideWhenUsed/>
    <w:rsid w:val="00D8499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49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499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2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268"/>
  </w:style>
  <w:style w:type="paragraph" w:styleId="Footer">
    <w:name w:val="footer"/>
    <w:basedOn w:val="Normal"/>
    <w:link w:val="FooterChar"/>
    <w:uiPriority w:val="99"/>
    <w:unhideWhenUsed/>
    <w:rsid w:val="00D832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268"/>
  </w:style>
  <w:style w:type="paragraph" w:styleId="FootnoteText">
    <w:name w:val="footnote text"/>
    <w:basedOn w:val="Normal"/>
    <w:link w:val="FootnoteTextChar"/>
    <w:uiPriority w:val="99"/>
    <w:semiHidden/>
    <w:unhideWhenUsed/>
    <w:rsid w:val="00D8499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49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49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176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498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179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851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265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8</cp:revision>
  <cp:lastPrinted>2015-11-02T21:24:00Z</cp:lastPrinted>
  <dcterms:created xsi:type="dcterms:W3CDTF">2015-10-29T02:34:00Z</dcterms:created>
  <dcterms:modified xsi:type="dcterms:W3CDTF">2015-12-17T20:32:00Z</dcterms:modified>
</cp:coreProperties>
</file>