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CE5" w:rsidRPr="00D44CE5" w:rsidRDefault="005817D4" w:rsidP="00981D23">
      <w:pPr>
        <w:bidi/>
        <w:rPr>
          <w:b/>
          <w:bCs/>
        </w:rPr>
      </w:pPr>
      <w:r w:rsidRPr="00D44CE5">
        <w:rPr>
          <w:b/>
          <w:bCs/>
          <w:sz w:val="36"/>
          <w:szCs w:val="36"/>
          <w:rtl/>
        </w:rPr>
        <w:t>קיום</w:t>
      </w:r>
      <w:r w:rsidR="00D44CE5">
        <w:rPr>
          <w:rFonts w:hint="cs"/>
          <w:rtl/>
        </w:rPr>
        <w:t xml:space="preserve"> </w:t>
      </w:r>
      <w:r w:rsidRPr="00D44CE5">
        <w:rPr>
          <w:b/>
          <w:bCs/>
          <w:sz w:val="32"/>
          <w:szCs w:val="32"/>
          <w:rtl/>
        </w:rPr>
        <w:t>שטרות דרבנן</w:t>
      </w:r>
      <w:r w:rsidR="00D44CE5">
        <w:rPr>
          <w:rFonts w:hint="cs"/>
          <w:b/>
          <w:bCs/>
          <w:sz w:val="32"/>
          <w:szCs w:val="32"/>
          <w:rtl/>
        </w:rPr>
        <w:t xml:space="preserve"> </w:t>
      </w:r>
      <w:r w:rsidR="00D44CE5">
        <w:rPr>
          <w:b/>
          <w:bCs/>
          <w:sz w:val="32"/>
          <w:szCs w:val="32"/>
          <w:rtl/>
        </w:rPr>
        <w:t>–</w:t>
      </w:r>
      <w:r w:rsidR="00D44CE5">
        <w:rPr>
          <w:rFonts w:hint="cs"/>
          <w:b/>
          <w:bCs/>
          <w:sz w:val="32"/>
          <w:szCs w:val="32"/>
          <w:rtl/>
        </w:rPr>
        <w:t xml:space="preserve"> </w:t>
      </w:r>
      <w:r w:rsidR="00D44CE5">
        <w:rPr>
          <w:b/>
          <w:bCs/>
          <w:sz w:val="32"/>
          <w:szCs w:val="32"/>
        </w:rPr>
        <w:t xml:space="preserve">Verification of notes is a </w:t>
      </w:r>
      <w:proofErr w:type="spellStart"/>
      <w:r w:rsidR="00D44CE5">
        <w:rPr>
          <w:b/>
          <w:bCs/>
          <w:i/>
          <w:iCs/>
          <w:sz w:val="32"/>
          <w:szCs w:val="32"/>
        </w:rPr>
        <w:t>Derabonon</w:t>
      </w:r>
      <w:proofErr w:type="spellEnd"/>
      <w:r w:rsidR="00D44CE5">
        <w:rPr>
          <w:b/>
          <w:bCs/>
          <w:sz w:val="32"/>
          <w:szCs w:val="32"/>
        </w:rPr>
        <w:t xml:space="preserve">       </w:t>
      </w:r>
      <w:r w:rsidR="00981D23">
        <w:rPr>
          <w:b/>
          <w:bCs/>
          <w:sz w:val="32"/>
          <w:szCs w:val="32"/>
        </w:rPr>
        <w:t xml:space="preserve">  </w:t>
      </w:r>
      <w:r w:rsidR="00981D23">
        <w:rPr>
          <w:b/>
          <w:bCs/>
          <w:sz w:val="16"/>
          <w:szCs w:val="16"/>
        </w:rPr>
        <w:t xml:space="preserve">   </w:t>
      </w:r>
      <w:r w:rsidR="00D44CE5">
        <w:rPr>
          <w:b/>
          <w:bCs/>
          <w:sz w:val="32"/>
          <w:szCs w:val="32"/>
        </w:rPr>
        <w:t xml:space="preserve">  </w:t>
      </w:r>
      <w:r w:rsidR="00981D23">
        <w:rPr>
          <w:b/>
          <w:bCs/>
          <w:sz w:val="32"/>
          <w:szCs w:val="32"/>
        </w:rPr>
        <w:t xml:space="preserve">  </w:t>
      </w:r>
      <w:r w:rsidR="00D44CE5">
        <w:rPr>
          <w:b/>
          <w:bCs/>
          <w:sz w:val="32"/>
          <w:szCs w:val="32"/>
        </w:rPr>
        <w:t xml:space="preserve"> </w:t>
      </w:r>
      <w:r w:rsidR="00D44CE5">
        <w:rPr>
          <w:b/>
          <w:bCs/>
          <w:sz w:val="16"/>
          <w:szCs w:val="16"/>
        </w:rPr>
        <w:t xml:space="preserve">  </w:t>
      </w:r>
      <w:r w:rsidR="00D44CE5">
        <w:rPr>
          <w:b/>
          <w:bCs/>
          <w:sz w:val="32"/>
          <w:szCs w:val="32"/>
        </w:rPr>
        <w:t xml:space="preserve">        </w:t>
      </w:r>
    </w:p>
    <w:p w:rsidR="00D44CE5" w:rsidRPr="00AB4B15" w:rsidRDefault="00D44CE5" w:rsidP="00D44CE5">
      <w:pPr>
        <w:bidi/>
        <w:rPr>
          <w:b/>
          <w:bCs/>
          <w:sz w:val="22"/>
          <w:szCs w:val="22"/>
          <w:rtl/>
        </w:rPr>
      </w:pPr>
    </w:p>
    <w:p w:rsidR="00D44CE5" w:rsidRPr="00D44CE5" w:rsidRDefault="00D44CE5" w:rsidP="00D44CE5">
      <w:pPr>
        <w:rPr>
          <w:rFonts w:ascii="Copperplate Gothic Bold" w:hAnsi="Copperplate Gothic Bold"/>
          <w:u w:val="double"/>
        </w:rPr>
      </w:pPr>
      <w:r w:rsidRPr="00D44CE5">
        <w:rPr>
          <w:rFonts w:ascii="Copperplate Gothic Bold" w:hAnsi="Copperplate Gothic Bold"/>
          <w:u w:val="double"/>
        </w:rPr>
        <w:t>Overview</w:t>
      </w:r>
    </w:p>
    <w:p w:rsidR="00D44CE5" w:rsidRPr="00AB4B15" w:rsidRDefault="00AB4B15" w:rsidP="00AB4B15">
      <w:pPr>
        <w:rPr>
          <w:spacing w:val="-2"/>
        </w:rPr>
      </w:pPr>
      <w:r>
        <w:t xml:space="preserve">The </w:t>
      </w:r>
      <w:r>
        <w:rPr>
          <w:rFonts w:hint="cs"/>
          <w:rtl/>
        </w:rPr>
        <w:t>גמרא</w:t>
      </w:r>
      <w:r>
        <w:t xml:space="preserve"> states here that </w:t>
      </w:r>
      <w:r>
        <w:rPr>
          <w:rFonts w:hint="cs"/>
          <w:rtl/>
        </w:rPr>
        <w:t>קיום שטרות</w:t>
      </w:r>
      <w:r>
        <w:t xml:space="preserve"> is only </w:t>
      </w:r>
      <w:r>
        <w:rPr>
          <w:rFonts w:hint="cs"/>
          <w:rtl/>
        </w:rPr>
        <w:t>מדרבנן</w:t>
      </w:r>
      <w:r>
        <w:t xml:space="preserve">; (seemingly) meaning that </w:t>
      </w:r>
      <w:r>
        <w:rPr>
          <w:rFonts w:hint="cs"/>
          <w:rtl/>
        </w:rPr>
        <w:t xml:space="preserve">מן </w:t>
      </w:r>
      <w:r w:rsidRPr="00AB4B15">
        <w:rPr>
          <w:rFonts w:hint="cs"/>
          <w:spacing w:val="-2"/>
          <w:rtl/>
        </w:rPr>
        <w:t>התורה</w:t>
      </w:r>
      <w:r w:rsidRPr="00AB4B15">
        <w:rPr>
          <w:spacing w:val="-2"/>
        </w:rPr>
        <w:t xml:space="preserve"> if a </w:t>
      </w:r>
      <w:r w:rsidRPr="00AB4B15">
        <w:rPr>
          <w:rFonts w:hint="cs"/>
          <w:spacing w:val="-2"/>
          <w:rtl/>
        </w:rPr>
        <w:t>מלוה</w:t>
      </w:r>
      <w:r w:rsidRPr="00AB4B15">
        <w:rPr>
          <w:spacing w:val="-2"/>
        </w:rPr>
        <w:t xml:space="preserve"> presents a </w:t>
      </w:r>
      <w:r w:rsidRPr="00AB4B15">
        <w:rPr>
          <w:rFonts w:hint="cs"/>
          <w:spacing w:val="-2"/>
          <w:rtl/>
        </w:rPr>
        <w:t>שטר</w:t>
      </w:r>
      <w:r w:rsidRPr="00AB4B15">
        <w:rPr>
          <w:spacing w:val="-2"/>
        </w:rPr>
        <w:t xml:space="preserve"> he is entitled to collect with it and does not require any </w:t>
      </w:r>
      <w:r w:rsidRPr="00AB4B15">
        <w:rPr>
          <w:rFonts w:hint="cs"/>
          <w:spacing w:val="-2"/>
          <w:rtl/>
        </w:rPr>
        <w:t>קיום</w:t>
      </w:r>
      <w:r w:rsidRPr="00AB4B15">
        <w:rPr>
          <w:spacing w:val="-2"/>
        </w:rPr>
        <w:t xml:space="preserve"> (even if the </w:t>
      </w:r>
      <w:r w:rsidRPr="00AB4B15">
        <w:rPr>
          <w:rFonts w:hint="cs"/>
          <w:spacing w:val="-2"/>
          <w:rtl/>
        </w:rPr>
        <w:t>לוה</w:t>
      </w:r>
      <w:r w:rsidRPr="00AB4B15">
        <w:rPr>
          <w:spacing w:val="-2"/>
        </w:rPr>
        <w:t xml:space="preserve"> claims it is a forged document). </w:t>
      </w:r>
      <w:r w:rsidRPr="00AB4B15">
        <w:rPr>
          <w:rFonts w:hint="cs"/>
          <w:spacing w:val="-2"/>
          <w:rtl/>
        </w:rPr>
        <w:t>תוספות</w:t>
      </w:r>
      <w:r w:rsidRPr="00AB4B15">
        <w:rPr>
          <w:spacing w:val="-2"/>
        </w:rPr>
        <w:t xml:space="preserve"> is puzzled by this ruling.</w:t>
      </w:r>
    </w:p>
    <w:p w:rsidR="00AB4B15" w:rsidRPr="00AB4B15" w:rsidRDefault="00AB4B15" w:rsidP="00AB4B15">
      <w:pPr>
        <w:bidi/>
        <w:jc w:val="center"/>
        <w:rPr>
          <w:sz w:val="22"/>
          <w:szCs w:val="22"/>
          <w:rtl/>
        </w:rPr>
      </w:pPr>
      <w:r w:rsidRPr="00AB4B15">
        <w:rPr>
          <w:sz w:val="22"/>
          <w:szCs w:val="22"/>
        </w:rPr>
        <w:t>-------------------------</w:t>
      </w:r>
    </w:p>
    <w:p w:rsidR="00D44CE5" w:rsidRPr="00D44CE5" w:rsidRDefault="00D44CE5" w:rsidP="00D44CE5">
      <w:pPr>
        <w:rPr>
          <w:sz w:val="24"/>
          <w:szCs w:val="24"/>
        </w:rPr>
      </w:pPr>
      <w:r>
        <w:rPr>
          <w:rFonts w:hint="cs"/>
          <w:sz w:val="24"/>
          <w:szCs w:val="24"/>
          <w:rtl/>
        </w:rPr>
        <w:t>תוספות</w:t>
      </w:r>
      <w:r>
        <w:rPr>
          <w:sz w:val="24"/>
          <w:szCs w:val="24"/>
        </w:rPr>
        <w:t xml:space="preserve"> asks:</w:t>
      </w:r>
    </w:p>
    <w:p w:rsidR="00D44CE5" w:rsidRPr="00AB4B15" w:rsidRDefault="005817D4" w:rsidP="00AB4B15">
      <w:pPr>
        <w:bidi/>
        <w:rPr>
          <w:rFonts w:cs="David"/>
          <w:b/>
          <w:bCs/>
        </w:rPr>
      </w:pPr>
      <w:r w:rsidRPr="00AB4B15">
        <w:rPr>
          <w:rFonts w:cs="David"/>
          <w:b/>
          <w:bCs/>
          <w:rtl/>
        </w:rPr>
        <w:t>תימה כיון דמדאורייתא אפילו אין עדים שיכירו חתימת העדים השטר כשר</w:t>
      </w:r>
      <w:r w:rsidR="00D44CE5" w:rsidRPr="00AB4B15">
        <w:rPr>
          <w:rStyle w:val="FootnoteReference"/>
          <w:rFonts w:cs="David"/>
          <w:b/>
          <w:bCs/>
          <w:rtl/>
        </w:rPr>
        <w:footnoteReference w:id="1"/>
      </w:r>
      <w:r w:rsidRPr="00AB4B15">
        <w:rPr>
          <w:rFonts w:cs="David"/>
          <w:b/>
          <w:bCs/>
          <w:rtl/>
        </w:rPr>
        <w:t xml:space="preserve"> </w:t>
      </w:r>
      <w:r w:rsidR="00AB4B15">
        <w:rPr>
          <w:rFonts w:cs="David" w:hint="cs"/>
          <w:b/>
          <w:bCs/>
          <w:rtl/>
        </w:rPr>
        <w:t>-</w:t>
      </w:r>
    </w:p>
    <w:p w:rsidR="00D44CE5" w:rsidRDefault="00D44CE5" w:rsidP="00D44CE5">
      <w:pPr>
        <w:rPr>
          <w:b/>
          <w:bCs/>
        </w:rPr>
      </w:pPr>
      <w:r>
        <w:rPr>
          <w:b/>
          <w:bCs/>
        </w:rPr>
        <w:t xml:space="preserve">It is astounding! Since </w:t>
      </w:r>
      <w:r>
        <w:rPr>
          <w:rFonts w:hint="cs"/>
          <w:b/>
          <w:bCs/>
          <w:rtl/>
        </w:rPr>
        <w:t>מדאורייתא</w:t>
      </w:r>
      <w:r>
        <w:rPr>
          <w:b/>
          <w:bCs/>
        </w:rPr>
        <w:t xml:space="preserve"> a </w:t>
      </w:r>
      <w:r>
        <w:rPr>
          <w:rFonts w:hint="cs"/>
          <w:b/>
          <w:bCs/>
          <w:rtl/>
        </w:rPr>
        <w:t>שטר</w:t>
      </w:r>
      <w:r>
        <w:rPr>
          <w:b/>
          <w:bCs/>
        </w:rPr>
        <w:t xml:space="preserve"> is </w:t>
      </w:r>
      <w:r>
        <w:rPr>
          <w:rFonts w:hint="cs"/>
          <w:b/>
          <w:bCs/>
          <w:rtl/>
        </w:rPr>
        <w:t>כשר</w:t>
      </w:r>
      <w:r>
        <w:rPr>
          <w:b/>
          <w:bCs/>
        </w:rPr>
        <w:t xml:space="preserve"> even if there are no witnesses who recognize the signatures of the witnesses -</w:t>
      </w:r>
    </w:p>
    <w:p w:rsidR="00D44CE5" w:rsidRPr="00AB4B15" w:rsidRDefault="005817D4" w:rsidP="00AB4B15">
      <w:pPr>
        <w:bidi/>
        <w:rPr>
          <w:rFonts w:cs="David"/>
          <w:b/>
          <w:bCs/>
        </w:rPr>
      </w:pPr>
      <w:r w:rsidRPr="00AB4B15">
        <w:rPr>
          <w:rFonts w:cs="David"/>
          <w:b/>
          <w:bCs/>
          <w:rtl/>
        </w:rPr>
        <w:t>א</w:t>
      </w:r>
      <w:r w:rsidR="00D44CE5" w:rsidRPr="00AB4B15">
        <w:rPr>
          <w:rFonts w:cs="David" w:hint="cs"/>
          <w:b/>
          <w:bCs/>
          <w:rtl/>
        </w:rPr>
        <w:t xml:space="preserve">ם </w:t>
      </w:r>
      <w:r w:rsidRPr="00AB4B15">
        <w:rPr>
          <w:rFonts w:cs="David"/>
          <w:b/>
          <w:bCs/>
          <w:rtl/>
        </w:rPr>
        <w:t>כ</w:t>
      </w:r>
      <w:r w:rsidR="00D44CE5" w:rsidRPr="00AB4B15">
        <w:rPr>
          <w:rFonts w:cs="David" w:hint="cs"/>
          <w:b/>
          <w:bCs/>
          <w:rtl/>
        </w:rPr>
        <w:t>ן</w:t>
      </w:r>
      <w:r w:rsidRPr="00AB4B15">
        <w:rPr>
          <w:rFonts w:cs="David"/>
          <w:b/>
          <w:bCs/>
          <w:rtl/>
        </w:rPr>
        <w:t xml:space="preserve"> כל אדם שירצה יזייף ויכתוב ויחתום מה שירצה ויגבה ממנו</w:t>
      </w:r>
      <w:r w:rsidR="00D44CE5" w:rsidRPr="00AB4B15">
        <w:rPr>
          <w:rStyle w:val="FootnoteReference"/>
          <w:rFonts w:cs="David"/>
          <w:b/>
          <w:bCs/>
          <w:rtl/>
        </w:rPr>
        <w:footnoteReference w:id="2"/>
      </w:r>
      <w:r w:rsidRPr="00AB4B15">
        <w:rPr>
          <w:rFonts w:cs="David"/>
          <w:b/>
          <w:bCs/>
          <w:rtl/>
        </w:rPr>
        <w:t xml:space="preserve"> </w:t>
      </w:r>
      <w:r w:rsidR="00AB4B15">
        <w:rPr>
          <w:rFonts w:cs="David" w:hint="cs"/>
          <w:b/>
          <w:bCs/>
          <w:rtl/>
        </w:rPr>
        <w:t>-</w:t>
      </w:r>
    </w:p>
    <w:p w:rsidR="00D44CE5" w:rsidRPr="00AB4B15" w:rsidRDefault="00D44CE5" w:rsidP="007E284B">
      <w:pPr>
        <w:rPr>
          <w:sz w:val="24"/>
          <w:szCs w:val="24"/>
        </w:rPr>
      </w:pPr>
      <w:r>
        <w:rPr>
          <w:b/>
          <w:bCs/>
        </w:rPr>
        <w:t xml:space="preserve">If indeed this is true, anyone who so desires will forge a </w:t>
      </w:r>
      <w:r>
        <w:t xml:space="preserve">document </w:t>
      </w:r>
      <w:r>
        <w:rPr>
          <w:b/>
          <w:bCs/>
        </w:rPr>
        <w:t xml:space="preserve">and write </w:t>
      </w:r>
      <w:r w:rsidR="007E284B">
        <w:rPr>
          <w:b/>
          <w:bCs/>
        </w:rPr>
        <w:t xml:space="preserve">whatever he desires </w:t>
      </w:r>
      <w:r>
        <w:rPr>
          <w:b/>
          <w:bCs/>
        </w:rPr>
        <w:t xml:space="preserve">and sign </w:t>
      </w:r>
      <w:r>
        <w:t xml:space="preserve">(fake signatures) </w:t>
      </w:r>
      <w:r>
        <w:rPr>
          <w:b/>
          <w:bCs/>
        </w:rPr>
        <w:t xml:space="preserve">and will </w:t>
      </w:r>
      <w:r>
        <w:t>be able to</w:t>
      </w:r>
      <w:r>
        <w:rPr>
          <w:b/>
          <w:bCs/>
        </w:rPr>
        <w:t xml:space="preserve"> collect with this </w:t>
      </w:r>
      <w:r w:rsidRPr="00AB4B15">
        <w:rPr>
          <w:sz w:val="24"/>
          <w:szCs w:val="24"/>
        </w:rPr>
        <w:t>document!!</w:t>
      </w:r>
    </w:p>
    <w:p w:rsidR="00D44CE5" w:rsidRPr="00AB4B15" w:rsidRDefault="00D44CE5" w:rsidP="00D44CE5">
      <w:pPr>
        <w:rPr>
          <w:sz w:val="20"/>
          <w:szCs w:val="20"/>
        </w:rPr>
      </w:pPr>
    </w:p>
    <w:p w:rsidR="00D44CE5" w:rsidRPr="00AB4B15" w:rsidRDefault="00D44CE5" w:rsidP="00D44CE5">
      <w:pPr>
        <w:rPr>
          <w:sz w:val="24"/>
          <w:szCs w:val="24"/>
        </w:rPr>
      </w:pPr>
      <w:r w:rsidRPr="00AB4B15">
        <w:rPr>
          <w:rFonts w:hint="cs"/>
          <w:sz w:val="24"/>
          <w:szCs w:val="24"/>
          <w:rtl/>
        </w:rPr>
        <w:t>תוספות</w:t>
      </w:r>
      <w:r w:rsidRPr="00AB4B15">
        <w:rPr>
          <w:sz w:val="24"/>
          <w:szCs w:val="24"/>
        </w:rPr>
        <w:t xml:space="preserve"> attempts to modify the meaning of </w:t>
      </w:r>
      <w:r w:rsidRPr="00AB4B15">
        <w:rPr>
          <w:rFonts w:hint="cs"/>
          <w:sz w:val="24"/>
          <w:szCs w:val="24"/>
          <w:rtl/>
        </w:rPr>
        <w:t>קיום שטרות דרבנן</w:t>
      </w:r>
      <w:r w:rsidRPr="00AB4B15">
        <w:rPr>
          <w:sz w:val="24"/>
          <w:szCs w:val="24"/>
        </w:rPr>
        <w:t>:</w:t>
      </w:r>
      <w:r w:rsidRPr="00AB4B15">
        <w:rPr>
          <w:rStyle w:val="FootnoteReference"/>
          <w:sz w:val="24"/>
          <w:szCs w:val="24"/>
        </w:rPr>
        <w:footnoteReference w:id="3"/>
      </w:r>
    </w:p>
    <w:p w:rsidR="00D44CE5" w:rsidRPr="00AB4B15" w:rsidRDefault="005817D4" w:rsidP="00AB4B15">
      <w:pPr>
        <w:bidi/>
        <w:rPr>
          <w:rFonts w:cs="David"/>
          <w:b/>
          <w:bCs/>
        </w:rPr>
      </w:pPr>
      <w:r w:rsidRPr="00AB4B15">
        <w:rPr>
          <w:rFonts w:cs="David"/>
          <w:b/>
          <w:bCs/>
          <w:rtl/>
        </w:rPr>
        <w:t>והכא</w:t>
      </w:r>
      <w:r w:rsidR="00AB4B15" w:rsidRPr="00AB4B15">
        <w:rPr>
          <w:rStyle w:val="FootnoteReference"/>
          <w:rFonts w:cs="David"/>
          <w:b/>
          <w:bCs/>
          <w:rtl/>
        </w:rPr>
        <w:footnoteReference w:id="4"/>
      </w:r>
      <w:r w:rsidRPr="00AB4B15">
        <w:rPr>
          <w:rFonts w:cs="David"/>
          <w:b/>
          <w:bCs/>
          <w:rtl/>
        </w:rPr>
        <w:t xml:space="preserve"> או</w:t>
      </w:r>
      <w:r w:rsidR="00D44CE5" w:rsidRPr="00AB4B15">
        <w:rPr>
          <w:rFonts w:cs="David" w:hint="cs"/>
          <w:b/>
          <w:bCs/>
          <w:rtl/>
        </w:rPr>
        <w:t xml:space="preserve">מר </w:t>
      </w:r>
      <w:r w:rsidRPr="00AB4B15">
        <w:rPr>
          <w:rFonts w:cs="David"/>
          <w:b/>
          <w:bCs/>
          <w:rtl/>
        </w:rPr>
        <w:t>ר</w:t>
      </w:r>
      <w:r w:rsidR="00D44CE5" w:rsidRPr="00AB4B15">
        <w:rPr>
          <w:rFonts w:cs="David" w:hint="cs"/>
          <w:b/>
          <w:bCs/>
          <w:rtl/>
        </w:rPr>
        <w:t xml:space="preserve">בינו </w:t>
      </w:r>
      <w:r w:rsidRPr="00AB4B15">
        <w:rPr>
          <w:rFonts w:cs="David"/>
          <w:b/>
          <w:bCs/>
          <w:rtl/>
        </w:rPr>
        <w:t>י</w:t>
      </w:r>
      <w:r w:rsidR="00D44CE5" w:rsidRPr="00AB4B15">
        <w:rPr>
          <w:rFonts w:cs="David" w:hint="cs"/>
          <w:b/>
          <w:bCs/>
          <w:rtl/>
        </w:rPr>
        <w:t>צחק</w:t>
      </w:r>
      <w:r w:rsidRPr="00AB4B15">
        <w:rPr>
          <w:rFonts w:cs="David"/>
          <w:b/>
          <w:bCs/>
          <w:rtl/>
        </w:rPr>
        <w:t xml:space="preserve"> דאיכא למימר כגון שלוה מודה שכתבו וטוען שהוא פרוע </w:t>
      </w:r>
      <w:r w:rsidR="00AB4B15">
        <w:rPr>
          <w:rFonts w:cs="David" w:hint="cs"/>
          <w:b/>
          <w:bCs/>
          <w:rtl/>
        </w:rPr>
        <w:t>-</w:t>
      </w:r>
    </w:p>
    <w:p w:rsidR="00D44CE5" w:rsidRPr="00AB4B15" w:rsidRDefault="00D44CE5" w:rsidP="00D44CE5">
      <w:pPr>
        <w:rPr>
          <w:b/>
          <w:bCs/>
        </w:rPr>
      </w:pPr>
      <w:r>
        <w:rPr>
          <w:b/>
          <w:bCs/>
        </w:rPr>
        <w:t xml:space="preserve">And the </w:t>
      </w:r>
      <w:r>
        <w:rPr>
          <w:rFonts w:hint="cs"/>
          <w:b/>
          <w:bCs/>
          <w:rtl/>
        </w:rPr>
        <w:t>ר"י</w:t>
      </w:r>
      <w:r>
        <w:rPr>
          <w:b/>
          <w:bCs/>
        </w:rPr>
        <w:t xml:space="preserve"> explains </w:t>
      </w:r>
      <w:r w:rsidRPr="00D44CE5">
        <w:rPr>
          <w:b/>
          <w:bCs/>
        </w:rPr>
        <w:t>that</w:t>
      </w:r>
      <w:r>
        <w:t xml:space="preserve"> when the </w:t>
      </w:r>
      <w:r>
        <w:rPr>
          <w:rFonts w:hint="cs"/>
          <w:rtl/>
        </w:rPr>
        <w:t>גמרא</w:t>
      </w:r>
      <w:r>
        <w:t xml:space="preserve"> states </w:t>
      </w:r>
      <w:r>
        <w:rPr>
          <w:b/>
          <w:bCs/>
        </w:rPr>
        <w:t xml:space="preserve">here </w:t>
      </w:r>
      <w:r>
        <w:rPr>
          <w:rFonts w:hint="cs"/>
          <w:rtl/>
        </w:rPr>
        <w:t>קיום שטרות דרבנן</w:t>
      </w:r>
      <w:r>
        <w:t xml:space="preserve">, </w:t>
      </w:r>
      <w:r>
        <w:rPr>
          <w:b/>
          <w:bCs/>
        </w:rPr>
        <w:t xml:space="preserve">that can be explained </w:t>
      </w:r>
      <w:r>
        <w:t xml:space="preserve">to mean in a specific case, </w:t>
      </w:r>
      <w:r>
        <w:rPr>
          <w:b/>
          <w:bCs/>
        </w:rPr>
        <w:t xml:space="preserve">for instance where the </w:t>
      </w:r>
      <w:r>
        <w:rPr>
          <w:rFonts w:hint="cs"/>
          <w:b/>
          <w:bCs/>
          <w:rtl/>
        </w:rPr>
        <w:t>לוה</w:t>
      </w:r>
      <w:r>
        <w:rPr>
          <w:b/>
          <w:bCs/>
        </w:rPr>
        <w:t xml:space="preserve"> admits </w:t>
      </w:r>
      <w:r w:rsidRPr="00D44CE5">
        <w:rPr>
          <w:b/>
          <w:bCs/>
        </w:rPr>
        <w:t xml:space="preserve">that </w:t>
      </w:r>
      <w:r w:rsidRPr="00D44CE5">
        <w:t xml:space="preserve">the </w:t>
      </w:r>
      <w:r w:rsidRPr="00D44CE5">
        <w:rPr>
          <w:rFonts w:hint="cs"/>
          <w:rtl/>
        </w:rPr>
        <w:t>שטר</w:t>
      </w:r>
      <w:r w:rsidR="00957309">
        <w:t xml:space="preserve"> </w:t>
      </w:r>
      <w:r w:rsidR="00957309">
        <w:rPr>
          <w:b/>
          <w:bCs/>
        </w:rPr>
        <w:t xml:space="preserve">was written </w:t>
      </w:r>
      <w:r w:rsidR="00957309">
        <w:t xml:space="preserve">with </w:t>
      </w:r>
      <w:r w:rsidR="00957309">
        <w:rPr>
          <w:b/>
          <w:bCs/>
        </w:rPr>
        <w:t xml:space="preserve">his </w:t>
      </w:r>
      <w:r w:rsidR="00957309">
        <w:t>consent</w:t>
      </w:r>
      <w:r w:rsidRPr="00D44CE5">
        <w:t xml:space="preserve"> </w:t>
      </w:r>
      <w:r w:rsidR="00AB4B15">
        <w:t xml:space="preserve">(he borrowed the money) </w:t>
      </w:r>
      <w:r w:rsidR="00AB4B15">
        <w:rPr>
          <w:b/>
          <w:bCs/>
        </w:rPr>
        <w:t xml:space="preserve">but </w:t>
      </w:r>
      <w:r w:rsidR="00AB4B15">
        <w:t xml:space="preserve">the </w:t>
      </w:r>
      <w:r w:rsidR="00AB4B15">
        <w:rPr>
          <w:rFonts w:hint="cs"/>
          <w:rtl/>
        </w:rPr>
        <w:t>לוה</w:t>
      </w:r>
      <w:r w:rsidR="00AB4B15">
        <w:t xml:space="preserve"> </w:t>
      </w:r>
      <w:r w:rsidR="00AB4B15" w:rsidRPr="00AB4B15">
        <w:rPr>
          <w:b/>
          <w:bCs/>
        </w:rPr>
        <w:t>claims</w:t>
      </w:r>
      <w:r w:rsidRPr="00AB4B15">
        <w:rPr>
          <w:b/>
          <w:bCs/>
        </w:rPr>
        <w:t xml:space="preserve"> </w:t>
      </w:r>
      <w:r w:rsidR="00AB4B15">
        <w:t xml:space="preserve">that the loan </w:t>
      </w:r>
      <w:r w:rsidR="00AB4B15">
        <w:rPr>
          <w:b/>
          <w:bCs/>
        </w:rPr>
        <w:t>was paid up -</w:t>
      </w:r>
    </w:p>
    <w:p w:rsidR="00D44CE5" w:rsidRPr="00AB4B15" w:rsidRDefault="005817D4" w:rsidP="00AB4B15">
      <w:pPr>
        <w:widowControl w:val="0"/>
        <w:bidi/>
        <w:rPr>
          <w:rFonts w:cs="David"/>
          <w:b/>
          <w:bCs/>
        </w:rPr>
      </w:pPr>
      <w:r w:rsidRPr="00AB4B15">
        <w:rPr>
          <w:rFonts w:cs="David"/>
          <w:b/>
          <w:bCs/>
          <w:rtl/>
        </w:rPr>
        <w:t>וקסבר האי תנא דמודה בשטר שכתבו צריך לקיימו</w:t>
      </w:r>
      <w:r w:rsidR="00AB4B15" w:rsidRPr="00AB4B15">
        <w:rPr>
          <w:rStyle w:val="FootnoteReference"/>
          <w:rFonts w:cs="David"/>
          <w:b/>
          <w:bCs/>
          <w:rtl/>
        </w:rPr>
        <w:footnoteReference w:id="5"/>
      </w:r>
      <w:r w:rsidRPr="00AB4B15">
        <w:rPr>
          <w:rFonts w:cs="David"/>
          <w:b/>
          <w:bCs/>
          <w:rtl/>
        </w:rPr>
        <w:t xml:space="preserve"> והאי קיום הוי ודאי מדרבנן</w:t>
      </w:r>
      <w:r w:rsidR="00AB4B15" w:rsidRPr="00AB4B15">
        <w:rPr>
          <w:rStyle w:val="FootnoteReference"/>
          <w:rFonts w:cs="David"/>
          <w:sz w:val="24"/>
          <w:szCs w:val="24"/>
        </w:rPr>
        <w:footnoteReference w:id="6"/>
      </w:r>
      <w:r w:rsidRPr="00AB4B15">
        <w:rPr>
          <w:rFonts w:cs="David"/>
          <w:b/>
          <w:bCs/>
          <w:rtl/>
        </w:rPr>
        <w:t xml:space="preserve"> </w:t>
      </w:r>
      <w:r w:rsidR="00AB4B15">
        <w:rPr>
          <w:rFonts w:cs="David" w:hint="cs"/>
          <w:b/>
          <w:bCs/>
          <w:rtl/>
        </w:rPr>
        <w:t>-</w:t>
      </w:r>
    </w:p>
    <w:p w:rsidR="00AB4B15" w:rsidRPr="00AB4B15" w:rsidRDefault="00AB4B15" w:rsidP="00AB4B15">
      <w:pPr>
        <w:widowControl w:val="0"/>
        <w:rPr>
          <w:sz w:val="24"/>
          <w:szCs w:val="24"/>
        </w:rPr>
      </w:pPr>
      <w:r>
        <w:rPr>
          <w:b/>
          <w:bCs/>
        </w:rPr>
        <w:t xml:space="preserve">And </w:t>
      </w:r>
      <w:r>
        <w:t xml:space="preserve">we will assume that </w:t>
      </w:r>
      <w:r>
        <w:rPr>
          <w:b/>
          <w:bCs/>
        </w:rPr>
        <w:t xml:space="preserve">the </w:t>
      </w:r>
      <w:r>
        <w:rPr>
          <w:rFonts w:hint="cs"/>
          <w:b/>
          <w:bCs/>
          <w:rtl/>
        </w:rPr>
        <w:t>תנא</w:t>
      </w:r>
      <w:r>
        <w:rPr>
          <w:b/>
          <w:bCs/>
        </w:rPr>
        <w:t xml:space="preserve"> </w:t>
      </w:r>
      <w:r>
        <w:t xml:space="preserve">of </w:t>
      </w:r>
      <w:r>
        <w:rPr>
          <w:b/>
          <w:bCs/>
        </w:rPr>
        <w:t xml:space="preserve">this </w:t>
      </w:r>
      <w:r>
        <w:rPr>
          <w:rFonts w:hint="cs"/>
          <w:rtl/>
        </w:rPr>
        <w:t>משנה</w:t>
      </w:r>
      <w:r>
        <w:t xml:space="preserve"> </w:t>
      </w:r>
      <w:r>
        <w:rPr>
          <w:b/>
          <w:bCs/>
        </w:rPr>
        <w:t xml:space="preserve">maintains that </w:t>
      </w:r>
      <w:r>
        <w:rPr>
          <w:rFonts w:hint="cs"/>
          <w:b/>
          <w:bCs/>
          <w:rtl/>
        </w:rPr>
        <w:t>מודה בשטר שכתבו צריך לקיימו</w:t>
      </w:r>
      <w:r>
        <w:rPr>
          <w:b/>
          <w:bCs/>
        </w:rPr>
        <w:t xml:space="preserve">, and this </w:t>
      </w:r>
      <w:r>
        <w:rPr>
          <w:rFonts w:hint="cs"/>
          <w:b/>
          <w:bCs/>
          <w:rtl/>
        </w:rPr>
        <w:t>קיום</w:t>
      </w:r>
      <w:r>
        <w:rPr>
          <w:b/>
          <w:bCs/>
        </w:rPr>
        <w:t xml:space="preserve"> </w:t>
      </w:r>
      <w:r>
        <w:t xml:space="preserve">(for a </w:t>
      </w:r>
      <w:r>
        <w:rPr>
          <w:rFonts w:hint="cs"/>
          <w:rtl/>
        </w:rPr>
        <w:t>מודה בשטר שכתבו</w:t>
      </w:r>
      <w:r>
        <w:t xml:space="preserve">) </w:t>
      </w:r>
      <w:r>
        <w:rPr>
          <w:b/>
          <w:bCs/>
        </w:rPr>
        <w:t xml:space="preserve">is certainly a </w:t>
      </w:r>
      <w:r>
        <w:rPr>
          <w:rFonts w:hint="cs"/>
          <w:b/>
          <w:bCs/>
          <w:rtl/>
        </w:rPr>
        <w:t>רבנן</w:t>
      </w:r>
      <w:r>
        <w:rPr>
          <w:b/>
          <w:bCs/>
        </w:rPr>
        <w:t xml:space="preserve"> </w:t>
      </w:r>
      <w:r w:rsidRPr="00AB4B15">
        <w:rPr>
          <w:sz w:val="24"/>
          <w:szCs w:val="24"/>
        </w:rPr>
        <w:t xml:space="preserve">requirement, for </w:t>
      </w:r>
      <w:r w:rsidRPr="00AB4B15">
        <w:rPr>
          <w:rFonts w:hint="cs"/>
          <w:sz w:val="24"/>
          <w:szCs w:val="24"/>
          <w:rtl/>
        </w:rPr>
        <w:t>מן התורה</w:t>
      </w:r>
      <w:r w:rsidRPr="00AB4B15">
        <w:rPr>
          <w:sz w:val="24"/>
          <w:szCs w:val="24"/>
        </w:rPr>
        <w:t xml:space="preserve"> no </w:t>
      </w:r>
      <w:r w:rsidRPr="00AB4B15">
        <w:rPr>
          <w:rFonts w:hint="cs"/>
          <w:sz w:val="24"/>
          <w:szCs w:val="24"/>
          <w:rtl/>
        </w:rPr>
        <w:t>קיום</w:t>
      </w:r>
      <w:r w:rsidRPr="00AB4B15">
        <w:rPr>
          <w:sz w:val="24"/>
          <w:szCs w:val="24"/>
        </w:rPr>
        <w:t xml:space="preserve"> would be required and the </w:t>
      </w:r>
      <w:r w:rsidRPr="00AB4B15">
        <w:rPr>
          <w:rFonts w:hint="cs"/>
          <w:sz w:val="24"/>
          <w:szCs w:val="24"/>
          <w:rtl/>
        </w:rPr>
        <w:t>מלוה</w:t>
      </w:r>
      <w:r w:rsidRPr="00AB4B15">
        <w:rPr>
          <w:sz w:val="24"/>
          <w:szCs w:val="24"/>
        </w:rPr>
        <w:t xml:space="preserve"> would collect his debt.</w:t>
      </w:r>
    </w:p>
    <w:p w:rsidR="00AB4B15" w:rsidRPr="00AB4B15" w:rsidRDefault="00AB4B15" w:rsidP="00AB4B15">
      <w:pPr>
        <w:widowControl w:val="0"/>
        <w:rPr>
          <w:sz w:val="24"/>
          <w:szCs w:val="24"/>
        </w:rPr>
      </w:pPr>
      <w:r w:rsidRPr="00AB4B15">
        <w:rPr>
          <w:rFonts w:hint="cs"/>
          <w:sz w:val="24"/>
          <w:szCs w:val="24"/>
          <w:rtl/>
        </w:rPr>
        <w:lastRenderedPageBreak/>
        <w:t>תוספות</w:t>
      </w:r>
      <w:r w:rsidRPr="00AB4B15">
        <w:rPr>
          <w:sz w:val="24"/>
          <w:szCs w:val="24"/>
        </w:rPr>
        <w:t xml:space="preserve"> offers another example where </w:t>
      </w:r>
      <w:r w:rsidRPr="00AB4B15">
        <w:rPr>
          <w:rFonts w:hint="cs"/>
          <w:sz w:val="24"/>
          <w:szCs w:val="24"/>
          <w:rtl/>
        </w:rPr>
        <w:t>קיום שטרות</w:t>
      </w:r>
      <w:r w:rsidRPr="00AB4B15">
        <w:rPr>
          <w:sz w:val="24"/>
          <w:szCs w:val="24"/>
        </w:rPr>
        <w:t xml:space="preserve"> could be </w:t>
      </w:r>
      <w:r w:rsidRPr="00AB4B15">
        <w:rPr>
          <w:rFonts w:hint="cs"/>
          <w:sz w:val="24"/>
          <w:szCs w:val="24"/>
          <w:rtl/>
        </w:rPr>
        <w:t>מדרבנן</w:t>
      </w:r>
      <w:r w:rsidRPr="00AB4B15">
        <w:rPr>
          <w:sz w:val="24"/>
          <w:szCs w:val="24"/>
        </w:rPr>
        <w:t xml:space="preserve"> (only):</w:t>
      </w:r>
    </w:p>
    <w:p w:rsidR="00D44CE5" w:rsidRPr="00AB4B15" w:rsidRDefault="005817D4" w:rsidP="00AB4B15">
      <w:pPr>
        <w:widowControl w:val="0"/>
        <w:bidi/>
        <w:rPr>
          <w:rFonts w:cs="David"/>
          <w:b/>
          <w:bCs/>
        </w:rPr>
      </w:pPr>
      <w:r w:rsidRPr="00AB4B15">
        <w:rPr>
          <w:rFonts w:cs="David"/>
          <w:b/>
          <w:bCs/>
          <w:rtl/>
        </w:rPr>
        <w:t>אי נמי כגון שנתקיים משדה אחת</w:t>
      </w:r>
      <w:r w:rsidR="00AB4B15" w:rsidRPr="00AB4B15">
        <w:rPr>
          <w:rStyle w:val="FootnoteReference"/>
          <w:rFonts w:cs="David"/>
          <w:b/>
          <w:bCs/>
          <w:rtl/>
        </w:rPr>
        <w:footnoteReference w:id="7"/>
      </w:r>
      <w:r w:rsidRPr="00AB4B15">
        <w:rPr>
          <w:rFonts w:cs="David"/>
          <w:b/>
          <w:bCs/>
          <w:rtl/>
        </w:rPr>
        <w:t xml:space="preserve"> או משתי שדות ויוצא מתחת ידי עצמו</w:t>
      </w:r>
      <w:r w:rsidR="00AB4B15" w:rsidRPr="00AB4B15">
        <w:rPr>
          <w:rStyle w:val="FootnoteReference"/>
          <w:rFonts w:cs="David"/>
          <w:b/>
          <w:bCs/>
          <w:rtl/>
        </w:rPr>
        <w:footnoteReference w:id="8"/>
      </w:r>
      <w:r w:rsidRPr="00AB4B15">
        <w:rPr>
          <w:rFonts w:cs="David"/>
          <w:b/>
          <w:bCs/>
          <w:rtl/>
        </w:rPr>
        <w:t xml:space="preserve"> </w:t>
      </w:r>
      <w:r w:rsidR="00AB4B15">
        <w:rPr>
          <w:rFonts w:cs="David" w:hint="cs"/>
          <w:b/>
          <w:bCs/>
          <w:rtl/>
        </w:rPr>
        <w:t>-</w:t>
      </w:r>
    </w:p>
    <w:p w:rsidR="00AB4B15" w:rsidRPr="00AB4B15" w:rsidRDefault="00AB4B15" w:rsidP="00AB4B15">
      <w:pPr>
        <w:widowControl w:val="0"/>
        <w:rPr>
          <w:b/>
          <w:bCs/>
        </w:rPr>
      </w:pPr>
      <w:r>
        <w:rPr>
          <w:b/>
          <w:bCs/>
        </w:rPr>
        <w:t xml:space="preserve">Or </w:t>
      </w:r>
      <w:r>
        <w:t xml:space="preserve">you may </w:t>
      </w:r>
      <w:r>
        <w:rPr>
          <w:b/>
          <w:bCs/>
        </w:rPr>
        <w:t xml:space="preserve">also </w:t>
      </w:r>
      <w:r>
        <w:t xml:space="preserve">say where </w:t>
      </w:r>
      <w:r>
        <w:rPr>
          <w:b/>
          <w:bCs/>
        </w:rPr>
        <w:t xml:space="preserve">for instance </w:t>
      </w:r>
      <w:r>
        <w:t xml:space="preserve">the </w:t>
      </w:r>
      <w:r>
        <w:rPr>
          <w:rFonts w:hint="cs"/>
          <w:rtl/>
        </w:rPr>
        <w:t>שטר</w:t>
      </w:r>
      <w:r>
        <w:t xml:space="preserve"> </w:t>
      </w:r>
      <w:r>
        <w:rPr>
          <w:b/>
          <w:bCs/>
        </w:rPr>
        <w:t xml:space="preserve">was </w:t>
      </w:r>
      <w:r>
        <w:rPr>
          <w:rFonts w:hint="cs"/>
          <w:b/>
          <w:bCs/>
          <w:rtl/>
        </w:rPr>
        <w:t>מקויים</w:t>
      </w:r>
      <w:r>
        <w:rPr>
          <w:b/>
          <w:bCs/>
        </w:rPr>
        <w:t xml:space="preserve"> from </w:t>
      </w:r>
      <w:r>
        <w:t xml:space="preserve">only </w:t>
      </w:r>
      <w:r>
        <w:rPr>
          <w:b/>
          <w:bCs/>
        </w:rPr>
        <w:t xml:space="preserve">one field, or from two fields </w:t>
      </w:r>
      <w:r>
        <w:t xml:space="preserve">but the </w:t>
      </w:r>
      <w:r>
        <w:rPr>
          <w:rFonts w:hint="cs"/>
          <w:rtl/>
        </w:rPr>
        <w:t>מלוה</w:t>
      </w:r>
      <w:r>
        <w:t xml:space="preserve"> </w:t>
      </w:r>
      <w:r>
        <w:rPr>
          <w:b/>
          <w:bCs/>
        </w:rPr>
        <w:t xml:space="preserve">is holding those </w:t>
      </w:r>
      <w:r>
        <w:rPr>
          <w:rFonts w:hint="cs"/>
          <w:b/>
          <w:bCs/>
          <w:rtl/>
        </w:rPr>
        <w:t>שטרות</w:t>
      </w:r>
      <w:r>
        <w:rPr>
          <w:b/>
          <w:bCs/>
        </w:rPr>
        <w:t xml:space="preserve"> -</w:t>
      </w:r>
    </w:p>
    <w:p w:rsidR="00D44CE5" w:rsidRPr="00AB4B15" w:rsidRDefault="005817D4" w:rsidP="00AB4B15">
      <w:pPr>
        <w:bidi/>
        <w:rPr>
          <w:rFonts w:cs="David"/>
          <w:b/>
          <w:bCs/>
        </w:rPr>
      </w:pPr>
      <w:r w:rsidRPr="00AB4B15">
        <w:rPr>
          <w:rFonts w:cs="David"/>
          <w:b/>
          <w:bCs/>
          <w:rtl/>
        </w:rPr>
        <w:t xml:space="preserve">דאמר לעיל </w:t>
      </w:r>
      <w:r w:rsidRPr="00AB4B15">
        <w:rPr>
          <w:rFonts w:cs="David"/>
          <w:b/>
          <w:bCs/>
          <w:sz w:val="20"/>
          <w:szCs w:val="20"/>
          <w:rtl/>
        </w:rPr>
        <w:t>(דף כ</w:t>
      </w:r>
      <w:r w:rsidR="00D44CE5" w:rsidRPr="00AB4B15">
        <w:rPr>
          <w:rFonts w:cs="David" w:hint="cs"/>
          <w:b/>
          <w:bCs/>
          <w:sz w:val="20"/>
          <w:szCs w:val="20"/>
          <w:rtl/>
        </w:rPr>
        <w:t>,א</w:t>
      </w:r>
      <w:r w:rsidRPr="00AB4B15">
        <w:rPr>
          <w:rFonts w:cs="David"/>
          <w:b/>
          <w:bCs/>
          <w:sz w:val="20"/>
          <w:szCs w:val="20"/>
          <w:rtl/>
        </w:rPr>
        <w:t>)</w:t>
      </w:r>
      <w:r w:rsidRPr="00AB4B15">
        <w:rPr>
          <w:rFonts w:cs="David"/>
          <w:b/>
          <w:bCs/>
          <w:rtl/>
        </w:rPr>
        <w:t xml:space="preserve"> דחיישינן שמא זייף </w:t>
      </w:r>
      <w:r w:rsidR="00AB4B15">
        <w:rPr>
          <w:rFonts w:cs="David" w:hint="cs"/>
          <w:b/>
          <w:bCs/>
          <w:rtl/>
        </w:rPr>
        <w:t>-</w:t>
      </w:r>
    </w:p>
    <w:p w:rsidR="00AB4B15" w:rsidRPr="00AB4B15" w:rsidRDefault="00AB4B15" w:rsidP="00AB4B15">
      <w:pPr>
        <w:rPr>
          <w:sz w:val="24"/>
          <w:szCs w:val="24"/>
        </w:rPr>
      </w:pPr>
      <w:r>
        <w:rPr>
          <w:b/>
          <w:bCs/>
        </w:rPr>
        <w:t xml:space="preserve">Where </w:t>
      </w:r>
      <w:r>
        <w:t xml:space="preserve">the </w:t>
      </w:r>
      <w:r>
        <w:rPr>
          <w:rFonts w:hint="cs"/>
          <w:rtl/>
        </w:rPr>
        <w:t>גמרא</w:t>
      </w:r>
      <w:r>
        <w:t xml:space="preserve"> </w:t>
      </w:r>
      <w:r>
        <w:rPr>
          <w:b/>
          <w:bCs/>
        </w:rPr>
        <w:t xml:space="preserve">previously said </w:t>
      </w:r>
      <w:r>
        <w:t xml:space="preserve">that it is not a sufficient </w:t>
      </w:r>
      <w:r>
        <w:rPr>
          <w:rFonts w:hint="cs"/>
          <w:rtl/>
        </w:rPr>
        <w:t>קיום</w:t>
      </w:r>
      <w:r>
        <w:t xml:space="preserve">, </w:t>
      </w:r>
      <w:r>
        <w:rPr>
          <w:b/>
          <w:bCs/>
        </w:rPr>
        <w:t xml:space="preserve">because we are concerned perhaps he forged </w:t>
      </w:r>
      <w:r w:rsidRPr="00AB4B15">
        <w:rPr>
          <w:sz w:val="24"/>
          <w:szCs w:val="24"/>
        </w:rPr>
        <w:t xml:space="preserve">the signature; in such a case we can also understand that the requirement to be </w:t>
      </w:r>
      <w:r w:rsidRPr="00AB4B15">
        <w:rPr>
          <w:rFonts w:hint="cs"/>
          <w:sz w:val="24"/>
          <w:szCs w:val="24"/>
          <w:rtl/>
        </w:rPr>
        <w:t>מקיים</w:t>
      </w:r>
      <w:r w:rsidRPr="00AB4B15">
        <w:rPr>
          <w:sz w:val="24"/>
          <w:szCs w:val="24"/>
        </w:rPr>
        <w:t xml:space="preserve"> that </w:t>
      </w:r>
      <w:r w:rsidRPr="00AB4B15">
        <w:rPr>
          <w:rFonts w:hint="cs"/>
          <w:sz w:val="24"/>
          <w:szCs w:val="24"/>
          <w:rtl/>
        </w:rPr>
        <w:t>שטר</w:t>
      </w:r>
      <w:r w:rsidRPr="00AB4B15">
        <w:rPr>
          <w:sz w:val="24"/>
          <w:szCs w:val="24"/>
        </w:rPr>
        <w:t xml:space="preserve"> is </w:t>
      </w:r>
      <w:r w:rsidRPr="00AB4B15">
        <w:rPr>
          <w:rFonts w:hint="cs"/>
          <w:sz w:val="24"/>
          <w:szCs w:val="24"/>
          <w:rtl/>
        </w:rPr>
        <w:t>מדרבנן</w:t>
      </w:r>
      <w:r w:rsidRPr="00AB4B15">
        <w:rPr>
          <w:sz w:val="24"/>
          <w:szCs w:val="24"/>
        </w:rPr>
        <w:t>.</w:t>
      </w:r>
      <w:r w:rsidRPr="00AB4B15">
        <w:rPr>
          <w:rStyle w:val="FootnoteReference"/>
          <w:sz w:val="24"/>
          <w:szCs w:val="24"/>
        </w:rPr>
        <w:footnoteReference w:id="9"/>
      </w:r>
      <w:r w:rsidRPr="00AB4B15">
        <w:rPr>
          <w:sz w:val="24"/>
          <w:szCs w:val="24"/>
        </w:rPr>
        <w:t xml:space="preserve"> However where the </w:t>
      </w:r>
      <w:r w:rsidRPr="00AB4B15">
        <w:rPr>
          <w:rFonts w:hint="cs"/>
          <w:sz w:val="24"/>
          <w:szCs w:val="24"/>
          <w:rtl/>
        </w:rPr>
        <w:t>לוה</w:t>
      </w:r>
      <w:r w:rsidRPr="00AB4B15">
        <w:rPr>
          <w:sz w:val="24"/>
          <w:szCs w:val="24"/>
        </w:rPr>
        <w:t xml:space="preserve"> claims </w:t>
      </w:r>
      <w:r w:rsidRPr="00AB4B15">
        <w:rPr>
          <w:rFonts w:hint="cs"/>
          <w:sz w:val="24"/>
          <w:szCs w:val="24"/>
          <w:rtl/>
        </w:rPr>
        <w:t>מזוייף</w:t>
      </w:r>
      <w:r w:rsidRPr="00AB4B15">
        <w:rPr>
          <w:sz w:val="24"/>
          <w:szCs w:val="24"/>
        </w:rPr>
        <w:t xml:space="preserve"> then (seemingly) </w:t>
      </w:r>
      <w:r w:rsidRPr="00AB4B15">
        <w:rPr>
          <w:rFonts w:hint="cs"/>
          <w:sz w:val="24"/>
          <w:szCs w:val="24"/>
          <w:rtl/>
        </w:rPr>
        <w:t>קיום שטרות</w:t>
      </w:r>
      <w:r w:rsidRPr="00AB4B15">
        <w:rPr>
          <w:sz w:val="24"/>
          <w:szCs w:val="24"/>
        </w:rPr>
        <w:t xml:space="preserve"> should be </w:t>
      </w:r>
      <w:r w:rsidRPr="00AB4B15">
        <w:rPr>
          <w:rFonts w:hint="cs"/>
          <w:sz w:val="24"/>
          <w:szCs w:val="24"/>
          <w:rtl/>
        </w:rPr>
        <w:t>מן התורה</w:t>
      </w:r>
      <w:r w:rsidRPr="00AB4B15">
        <w:rPr>
          <w:sz w:val="24"/>
          <w:szCs w:val="24"/>
        </w:rPr>
        <w:t xml:space="preserve">. This is how we could have explained it based on our </w:t>
      </w:r>
      <w:r w:rsidRPr="00AB4B15">
        <w:rPr>
          <w:rFonts w:hint="cs"/>
          <w:sz w:val="24"/>
          <w:szCs w:val="24"/>
          <w:rtl/>
        </w:rPr>
        <w:t>גמרא</w:t>
      </w:r>
      <w:r w:rsidRPr="00AB4B15">
        <w:rPr>
          <w:sz w:val="24"/>
          <w:szCs w:val="24"/>
        </w:rPr>
        <w:t>.</w:t>
      </w:r>
    </w:p>
    <w:p w:rsidR="00AB4B15" w:rsidRPr="00AB4B15" w:rsidRDefault="00AB4B15" w:rsidP="00AB4B15">
      <w:pPr>
        <w:rPr>
          <w:sz w:val="24"/>
          <w:szCs w:val="24"/>
        </w:rPr>
      </w:pPr>
    </w:p>
    <w:p w:rsidR="00AB4B15" w:rsidRPr="00AB4B15" w:rsidRDefault="00AB4B15" w:rsidP="00AB4B15">
      <w:pPr>
        <w:rPr>
          <w:sz w:val="24"/>
          <w:szCs w:val="24"/>
        </w:rPr>
      </w:pPr>
      <w:r w:rsidRPr="00AB4B15">
        <w:rPr>
          <w:rFonts w:hint="cs"/>
          <w:sz w:val="24"/>
          <w:szCs w:val="24"/>
          <w:rtl/>
        </w:rPr>
        <w:t>תוספות</w:t>
      </w:r>
      <w:r w:rsidRPr="00AB4B15">
        <w:rPr>
          <w:sz w:val="24"/>
          <w:szCs w:val="24"/>
        </w:rPr>
        <w:t xml:space="preserve"> has a difficulty:</w:t>
      </w:r>
    </w:p>
    <w:p w:rsidR="00D44CE5" w:rsidRPr="00AB4B15" w:rsidRDefault="005817D4" w:rsidP="00AB4B15">
      <w:pPr>
        <w:bidi/>
        <w:rPr>
          <w:rFonts w:cs="David"/>
          <w:b/>
          <w:bCs/>
        </w:rPr>
      </w:pPr>
      <w:r w:rsidRPr="00AB4B15">
        <w:rPr>
          <w:rFonts w:cs="David"/>
          <w:b/>
          <w:bCs/>
          <w:rtl/>
        </w:rPr>
        <w:t xml:space="preserve">ומיהו בריש גיטין </w:t>
      </w:r>
      <w:r w:rsidRPr="00AB4B15">
        <w:rPr>
          <w:rFonts w:cs="David"/>
          <w:b/>
          <w:bCs/>
          <w:sz w:val="20"/>
          <w:szCs w:val="20"/>
          <w:rtl/>
        </w:rPr>
        <w:t>(דף ג</w:t>
      </w:r>
      <w:r w:rsidR="00D44CE5" w:rsidRPr="00AB4B15">
        <w:rPr>
          <w:rFonts w:cs="David" w:hint="cs"/>
          <w:b/>
          <w:bCs/>
          <w:sz w:val="20"/>
          <w:szCs w:val="20"/>
          <w:rtl/>
        </w:rPr>
        <w:t>,א</w:t>
      </w:r>
      <w:r w:rsidRPr="00AB4B15">
        <w:rPr>
          <w:rFonts w:cs="David"/>
          <w:b/>
          <w:bCs/>
          <w:sz w:val="20"/>
          <w:szCs w:val="20"/>
          <w:rtl/>
        </w:rPr>
        <w:t>. ושם)</w:t>
      </w:r>
      <w:r w:rsidRPr="00AB4B15">
        <w:rPr>
          <w:rFonts w:cs="David"/>
          <w:b/>
          <w:bCs/>
          <w:rtl/>
        </w:rPr>
        <w:t xml:space="preserve"> מוכח דאפילו היכא דאין מכירין החתימה כלל</w:t>
      </w:r>
      <w:r w:rsidR="00AB4B15" w:rsidRPr="00AB4B15">
        <w:rPr>
          <w:rStyle w:val="FootnoteReference"/>
          <w:rFonts w:cs="David"/>
          <w:b/>
          <w:bCs/>
          <w:rtl/>
        </w:rPr>
        <w:footnoteReference w:id="10"/>
      </w:r>
      <w:r w:rsidRPr="00AB4B15">
        <w:rPr>
          <w:rFonts w:cs="David"/>
          <w:b/>
          <w:bCs/>
          <w:rtl/>
        </w:rPr>
        <w:t xml:space="preserve"> </w:t>
      </w:r>
      <w:r w:rsidR="00AB4B15">
        <w:rPr>
          <w:rFonts w:cs="David" w:hint="cs"/>
          <w:b/>
          <w:bCs/>
          <w:rtl/>
        </w:rPr>
        <w:t>-</w:t>
      </w:r>
    </w:p>
    <w:p w:rsidR="00AB4B15" w:rsidRPr="00AB4B15" w:rsidRDefault="00AB4B15" w:rsidP="00AB4B15">
      <w:pPr>
        <w:rPr>
          <w:b/>
          <w:bCs/>
        </w:rPr>
      </w:pPr>
      <w:r>
        <w:rPr>
          <w:b/>
          <w:bCs/>
        </w:rPr>
        <w:t xml:space="preserve">However in the beginning of </w:t>
      </w:r>
      <w:r>
        <w:rPr>
          <w:rFonts w:hint="cs"/>
          <w:rtl/>
        </w:rPr>
        <w:t xml:space="preserve">מסכת </w:t>
      </w:r>
      <w:r>
        <w:rPr>
          <w:rFonts w:hint="cs"/>
          <w:b/>
          <w:bCs/>
          <w:rtl/>
        </w:rPr>
        <w:t>גיטין</w:t>
      </w:r>
      <w:r>
        <w:rPr>
          <w:b/>
          <w:bCs/>
        </w:rPr>
        <w:t xml:space="preserve"> it is evident that even when we do not recognize the signatures at all -</w:t>
      </w:r>
    </w:p>
    <w:p w:rsidR="005817D4" w:rsidRPr="00AB4B15" w:rsidRDefault="005817D4" w:rsidP="00D44CE5">
      <w:pPr>
        <w:bidi/>
        <w:rPr>
          <w:rFonts w:cs="David"/>
          <w:b/>
          <w:bCs/>
        </w:rPr>
      </w:pPr>
      <w:r w:rsidRPr="00AB4B15">
        <w:rPr>
          <w:rFonts w:cs="David"/>
          <w:b/>
          <w:bCs/>
          <w:rtl/>
        </w:rPr>
        <w:t>הוי מדאורייתא כמי שנחקרה עדותן בב</w:t>
      </w:r>
      <w:r w:rsidR="00D44CE5" w:rsidRPr="00AB4B15">
        <w:rPr>
          <w:rFonts w:cs="David" w:hint="cs"/>
          <w:b/>
          <w:bCs/>
          <w:rtl/>
        </w:rPr>
        <w:t xml:space="preserve">ית </w:t>
      </w:r>
      <w:r w:rsidRPr="00AB4B15">
        <w:rPr>
          <w:rFonts w:cs="David"/>
          <w:b/>
          <w:bCs/>
          <w:rtl/>
        </w:rPr>
        <w:t>ד</w:t>
      </w:r>
      <w:r w:rsidR="00D44CE5" w:rsidRPr="00AB4B15">
        <w:rPr>
          <w:rFonts w:cs="David" w:hint="cs"/>
          <w:b/>
          <w:bCs/>
          <w:rtl/>
        </w:rPr>
        <w:t>ין:</w:t>
      </w:r>
    </w:p>
    <w:p w:rsidR="00AB4B15" w:rsidRPr="00AB4B15" w:rsidRDefault="00AB4B15" w:rsidP="00AB4B15">
      <w:pPr>
        <w:rPr>
          <w:sz w:val="24"/>
          <w:szCs w:val="24"/>
        </w:rPr>
      </w:pPr>
      <w:r>
        <w:rPr>
          <w:b/>
          <w:bCs/>
        </w:rPr>
        <w:t xml:space="preserve">It is considered </w:t>
      </w:r>
      <w:r>
        <w:rPr>
          <w:rFonts w:hint="cs"/>
          <w:b/>
          <w:bCs/>
          <w:rtl/>
        </w:rPr>
        <w:t>מדאורייתא</w:t>
      </w:r>
      <w:r>
        <w:rPr>
          <w:b/>
          <w:bCs/>
        </w:rPr>
        <w:t xml:space="preserve"> as if their testimony has been verified by </w:t>
      </w:r>
      <w:r>
        <w:rPr>
          <w:rFonts w:hint="cs"/>
          <w:b/>
          <w:bCs/>
          <w:rtl/>
        </w:rPr>
        <w:t>בי"ד</w:t>
      </w:r>
      <w:r>
        <w:rPr>
          <w:b/>
          <w:bCs/>
        </w:rPr>
        <w:t xml:space="preserve">; </w:t>
      </w:r>
      <w:r w:rsidRPr="00AB4B15">
        <w:rPr>
          <w:rFonts w:hint="cs"/>
          <w:sz w:val="24"/>
          <w:szCs w:val="24"/>
          <w:rtl/>
        </w:rPr>
        <w:t>תוספות</w:t>
      </w:r>
      <w:r w:rsidRPr="00AB4B15">
        <w:rPr>
          <w:sz w:val="24"/>
          <w:szCs w:val="24"/>
        </w:rPr>
        <w:t xml:space="preserve"> finds it very difficult to justify this concept.</w:t>
      </w:r>
    </w:p>
    <w:p w:rsidR="003D4453" w:rsidRPr="00AB4B15" w:rsidRDefault="003D4453">
      <w:pPr>
        <w:rPr>
          <w:b/>
          <w:bCs/>
          <w:sz w:val="24"/>
          <w:szCs w:val="24"/>
        </w:rPr>
      </w:pPr>
    </w:p>
    <w:p w:rsidR="00D44CE5" w:rsidRPr="00D44CE5" w:rsidRDefault="00D44CE5">
      <w:pPr>
        <w:rPr>
          <w:rFonts w:ascii="Copperplate Gothic Bold" w:hAnsi="Copperplate Gothic Bold"/>
          <w:u w:val="double"/>
        </w:rPr>
      </w:pPr>
      <w:r w:rsidRPr="00D44CE5">
        <w:rPr>
          <w:rFonts w:ascii="Copperplate Gothic Bold" w:hAnsi="Copperplate Gothic Bold"/>
          <w:u w:val="double"/>
        </w:rPr>
        <w:t>Summary</w:t>
      </w:r>
    </w:p>
    <w:p w:rsidR="00D44CE5" w:rsidRPr="00D44CE5" w:rsidRDefault="00AB4B15" w:rsidP="00AB4B15">
      <w:r>
        <w:t xml:space="preserve">It is understandable that </w:t>
      </w:r>
      <w:r>
        <w:rPr>
          <w:rFonts w:hint="cs"/>
          <w:rtl/>
        </w:rPr>
        <w:t>קיום</w:t>
      </w:r>
      <w:r>
        <w:t xml:space="preserve"> is </w:t>
      </w:r>
      <w:r>
        <w:rPr>
          <w:rFonts w:hint="cs"/>
          <w:rtl/>
        </w:rPr>
        <w:t>מדרבנן</w:t>
      </w:r>
      <w:r>
        <w:t xml:space="preserve"> in the case of </w:t>
      </w:r>
      <w:r>
        <w:rPr>
          <w:rFonts w:hint="cs"/>
          <w:rtl/>
        </w:rPr>
        <w:t>מודה בשטר שכתבו</w:t>
      </w:r>
      <w:r>
        <w:t xml:space="preserve"> or if it was an inferior </w:t>
      </w:r>
      <w:r>
        <w:rPr>
          <w:rFonts w:hint="cs"/>
          <w:rtl/>
        </w:rPr>
        <w:t>קיום</w:t>
      </w:r>
      <w:r>
        <w:t xml:space="preserve">, but not that </w:t>
      </w:r>
      <w:r>
        <w:rPr>
          <w:rFonts w:hint="cs"/>
          <w:rtl/>
        </w:rPr>
        <w:t>קיום</w:t>
      </w:r>
      <w:r>
        <w:t xml:space="preserve"> in general is </w:t>
      </w:r>
      <w:r>
        <w:rPr>
          <w:rFonts w:hint="cs"/>
          <w:rtl/>
        </w:rPr>
        <w:t>מדרבנן</w:t>
      </w:r>
      <w:r>
        <w:t>.</w:t>
      </w:r>
    </w:p>
    <w:p w:rsidR="00D44CE5" w:rsidRPr="00AB4B15" w:rsidRDefault="00D44CE5">
      <w:pPr>
        <w:rPr>
          <w:sz w:val="24"/>
          <w:szCs w:val="24"/>
        </w:rPr>
      </w:pPr>
    </w:p>
    <w:p w:rsidR="00D44CE5" w:rsidRPr="00D44CE5" w:rsidRDefault="00D44CE5">
      <w:pPr>
        <w:rPr>
          <w:rFonts w:ascii="Copperplate Gothic Bold" w:hAnsi="Copperplate Gothic Bold"/>
          <w:u w:val="double"/>
        </w:rPr>
      </w:pPr>
      <w:r w:rsidRPr="00D44CE5">
        <w:rPr>
          <w:rFonts w:ascii="Copperplate Gothic Bold" w:hAnsi="Copperplate Gothic Bold"/>
          <w:u w:val="double"/>
        </w:rPr>
        <w:t>Thinking it over</w:t>
      </w:r>
    </w:p>
    <w:p w:rsidR="00D44CE5" w:rsidRPr="00D44CE5" w:rsidRDefault="00AB4B15">
      <w:r>
        <w:rPr>
          <w:rFonts w:hint="cs"/>
          <w:rtl/>
        </w:rPr>
        <w:t>תוספות</w:t>
      </w:r>
      <w:r>
        <w:t xml:space="preserve"> explains that here we can understand that </w:t>
      </w:r>
      <w:r>
        <w:rPr>
          <w:rFonts w:hint="cs"/>
          <w:rtl/>
        </w:rPr>
        <w:t>קיום</w:t>
      </w:r>
      <w:r>
        <w:t xml:space="preserve"> is </w:t>
      </w:r>
      <w:r>
        <w:rPr>
          <w:rFonts w:hint="cs"/>
          <w:rtl/>
        </w:rPr>
        <w:t>מדרבנן</w:t>
      </w:r>
      <w:r>
        <w:t xml:space="preserve"> in a case where it is </w:t>
      </w:r>
      <w:r>
        <w:rPr>
          <w:rFonts w:hint="cs"/>
          <w:rtl/>
        </w:rPr>
        <w:t>מודה בשטר שכתבו</w:t>
      </w:r>
      <w:r>
        <w:t xml:space="preserve">. Seemingly the reason why </w:t>
      </w:r>
      <w:r>
        <w:rPr>
          <w:rFonts w:hint="cs"/>
          <w:rtl/>
        </w:rPr>
        <w:t>מודה בשטר</w:t>
      </w:r>
      <w:r>
        <w:t xml:space="preserve"> requires a </w:t>
      </w:r>
      <w:r>
        <w:rPr>
          <w:rFonts w:hint="cs"/>
          <w:rtl/>
        </w:rPr>
        <w:t>קיום</w:t>
      </w:r>
      <w:r>
        <w:t xml:space="preserve"> is because he has a </w:t>
      </w:r>
      <w:r>
        <w:rPr>
          <w:rFonts w:hint="cs"/>
          <w:rtl/>
        </w:rPr>
        <w:t>מגו דמזוייף</w:t>
      </w:r>
      <w:r>
        <w:t>.</w:t>
      </w:r>
      <w:r>
        <w:rPr>
          <w:rStyle w:val="FootnoteReference"/>
        </w:rPr>
        <w:footnoteReference w:id="11"/>
      </w:r>
      <w:r>
        <w:t xml:space="preserve"> In our </w:t>
      </w:r>
      <w:r>
        <w:rPr>
          <w:rFonts w:hint="cs"/>
          <w:rtl/>
        </w:rPr>
        <w:t>משנה</w:t>
      </w:r>
      <w:r>
        <w:t xml:space="preserve"> if there is a </w:t>
      </w:r>
      <w:r>
        <w:rPr>
          <w:rFonts w:hint="cs"/>
          <w:rtl/>
        </w:rPr>
        <w:t>גדול שעמו</w:t>
      </w:r>
      <w:r>
        <w:t xml:space="preserve"> who is </w:t>
      </w:r>
      <w:r>
        <w:rPr>
          <w:rFonts w:hint="cs"/>
          <w:rtl/>
        </w:rPr>
        <w:t>מקיים</w:t>
      </w:r>
      <w:r>
        <w:t xml:space="preserve"> the </w:t>
      </w:r>
      <w:r>
        <w:rPr>
          <w:rFonts w:hint="cs"/>
          <w:rtl/>
        </w:rPr>
        <w:t>שטר</w:t>
      </w:r>
      <w:r>
        <w:t xml:space="preserve">, the </w:t>
      </w:r>
      <w:r>
        <w:rPr>
          <w:rFonts w:hint="cs"/>
          <w:rtl/>
        </w:rPr>
        <w:t>מגו</w:t>
      </w:r>
      <w:r>
        <w:t xml:space="preserve"> of </w:t>
      </w:r>
      <w:r>
        <w:rPr>
          <w:rFonts w:hint="cs"/>
          <w:rtl/>
        </w:rPr>
        <w:t>מזוייף</w:t>
      </w:r>
      <w:r>
        <w:t xml:space="preserve"> is thwarted since he will be required to swear. He is considered a </w:t>
      </w:r>
      <w:r>
        <w:rPr>
          <w:rFonts w:hint="cs"/>
          <w:rtl/>
        </w:rPr>
        <w:t>מחויב שבועה ואינו יכול לישבע</w:t>
      </w:r>
      <w:r>
        <w:t xml:space="preserve"> where we rule that he has to pay,</w:t>
      </w:r>
      <w:r>
        <w:rPr>
          <w:rStyle w:val="FootnoteReference"/>
        </w:rPr>
        <w:footnoteReference w:id="12"/>
      </w:r>
      <w:r>
        <w:t xml:space="preserve"> so the </w:t>
      </w:r>
      <w:r>
        <w:rPr>
          <w:rFonts w:hint="cs"/>
          <w:rtl/>
        </w:rPr>
        <w:t>גדול שעמו</w:t>
      </w:r>
      <w:r>
        <w:t xml:space="preserve"> alone makes him pay there is no need for the </w:t>
      </w:r>
      <w:r>
        <w:rPr>
          <w:rFonts w:hint="cs"/>
          <w:rtl/>
        </w:rPr>
        <w:t>קטן שנתגדל</w:t>
      </w:r>
      <w:r>
        <w:t>!</w:t>
      </w:r>
      <w:r>
        <w:rPr>
          <w:rStyle w:val="FootnoteReference"/>
        </w:rPr>
        <w:footnoteReference w:id="13"/>
      </w:r>
    </w:p>
    <w:sectPr w:rsidR="00D44CE5" w:rsidRPr="00D44CE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CC0" w:rsidRDefault="00C46CC0" w:rsidP="00D44CE5">
      <w:pPr>
        <w:spacing w:line="240" w:lineRule="auto"/>
      </w:pPr>
      <w:r>
        <w:separator/>
      </w:r>
    </w:p>
  </w:endnote>
  <w:endnote w:type="continuationSeparator" w:id="0">
    <w:p w:rsidR="00C46CC0" w:rsidRDefault="00C46CC0" w:rsidP="00D44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61923"/>
      <w:docPartObj>
        <w:docPartGallery w:val="Page Numbers (Bottom of Page)"/>
        <w:docPartUnique/>
      </w:docPartObj>
    </w:sdtPr>
    <w:sdtEndPr>
      <w:rPr>
        <w:noProof/>
        <w:sz w:val="20"/>
        <w:szCs w:val="20"/>
      </w:rPr>
    </w:sdtEndPr>
    <w:sdtContent>
      <w:p w:rsidR="00D44CE5" w:rsidRPr="00AB4B15" w:rsidRDefault="00D44CE5">
        <w:pPr>
          <w:pStyle w:val="Footer"/>
          <w:jc w:val="center"/>
          <w:rPr>
            <w:noProof/>
            <w:sz w:val="16"/>
            <w:szCs w:val="16"/>
          </w:rPr>
        </w:pPr>
        <w:r w:rsidRPr="00AB4B15">
          <w:rPr>
            <w:sz w:val="20"/>
            <w:szCs w:val="20"/>
          </w:rPr>
          <w:fldChar w:fldCharType="begin"/>
        </w:r>
        <w:r w:rsidRPr="00AB4B15">
          <w:rPr>
            <w:sz w:val="20"/>
            <w:szCs w:val="20"/>
          </w:rPr>
          <w:instrText xml:space="preserve"> PAGE   \* MERGEFORMAT </w:instrText>
        </w:r>
        <w:r w:rsidRPr="00AB4B15">
          <w:rPr>
            <w:sz w:val="20"/>
            <w:szCs w:val="20"/>
          </w:rPr>
          <w:fldChar w:fldCharType="separate"/>
        </w:r>
        <w:r w:rsidR="007E284B">
          <w:rPr>
            <w:noProof/>
            <w:sz w:val="20"/>
            <w:szCs w:val="20"/>
          </w:rPr>
          <w:t>2</w:t>
        </w:r>
        <w:r w:rsidRPr="00AB4B15">
          <w:rPr>
            <w:noProof/>
            <w:sz w:val="20"/>
            <w:szCs w:val="20"/>
          </w:rPr>
          <w:fldChar w:fldCharType="end"/>
        </w:r>
      </w:p>
    </w:sdtContent>
  </w:sdt>
  <w:p w:rsidR="00D44CE5" w:rsidRPr="00AB4B15" w:rsidRDefault="00AB4B15" w:rsidP="00AB4B15">
    <w:pPr>
      <w:pStyle w:val="Footer"/>
      <w:tabs>
        <w:tab w:val="left" w:pos="3832"/>
      </w:tabs>
      <w:jc w:val="left"/>
      <w:rPr>
        <w:sz w:val="16"/>
        <w:szCs w:val="16"/>
      </w:rPr>
    </w:pPr>
    <w:r>
      <w:rPr>
        <w:b/>
        <w:bCs/>
        <w:noProof/>
        <w:sz w:val="16"/>
        <w:szCs w:val="16"/>
      </w:rPr>
      <w:tab/>
    </w:r>
    <w:r w:rsidRPr="00AB4B15">
      <w:rPr>
        <w:noProof/>
        <w:sz w:val="16"/>
        <w:szCs w:val="16"/>
      </w:rPr>
      <w:tab/>
    </w:r>
    <w:r w:rsidR="00D44CE5" w:rsidRPr="00AB4B15">
      <w:rPr>
        <w:noProof/>
        <w:sz w:val="16"/>
        <w:szCs w:val="16"/>
      </w:rPr>
      <w:t>TosfosInEnglish.com</w:t>
    </w:r>
  </w:p>
  <w:p w:rsidR="00D44CE5" w:rsidRPr="00AB4B15" w:rsidRDefault="00D44C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CC0" w:rsidRDefault="00C46CC0" w:rsidP="00D44CE5">
      <w:pPr>
        <w:spacing w:line="240" w:lineRule="auto"/>
      </w:pPr>
      <w:r>
        <w:separator/>
      </w:r>
    </w:p>
  </w:footnote>
  <w:footnote w:type="continuationSeparator" w:id="0">
    <w:p w:rsidR="00C46CC0" w:rsidRDefault="00C46CC0" w:rsidP="00D44CE5">
      <w:pPr>
        <w:spacing w:line="240" w:lineRule="auto"/>
      </w:pPr>
      <w:r>
        <w:continuationSeparator/>
      </w:r>
    </w:p>
  </w:footnote>
  <w:footnote w:id="1">
    <w:p w:rsidR="00D44CE5" w:rsidRPr="00AB4B15" w:rsidRDefault="00D44CE5" w:rsidP="00AB4B15">
      <w:pPr>
        <w:pStyle w:val="FootnoteText"/>
        <w:widowControl w:val="0"/>
        <w:spacing w:line="264" w:lineRule="auto"/>
        <w:rPr>
          <w:spacing w:val="-2"/>
        </w:rPr>
      </w:pPr>
      <w:r w:rsidRPr="00AB4B15">
        <w:rPr>
          <w:rStyle w:val="FootnoteReference"/>
          <w:spacing w:val="-2"/>
        </w:rPr>
        <w:footnoteRef/>
      </w:r>
      <w:r w:rsidRPr="00AB4B15">
        <w:rPr>
          <w:spacing w:val="-2"/>
        </w:rPr>
        <w:t xml:space="preserve"> We are discussing a case where the </w:t>
      </w:r>
      <w:r w:rsidRPr="00AB4B15">
        <w:rPr>
          <w:rFonts w:hint="cs"/>
          <w:spacing w:val="-2"/>
          <w:rtl/>
        </w:rPr>
        <w:t>לוה</w:t>
      </w:r>
      <w:r w:rsidRPr="00AB4B15">
        <w:rPr>
          <w:spacing w:val="-2"/>
        </w:rPr>
        <w:t xml:space="preserve"> claims the note is forged (otherwise if he admits that it is a proper note, there is no need (generally) for </w:t>
      </w:r>
      <w:r w:rsidRPr="00AB4B15">
        <w:rPr>
          <w:rFonts w:hint="cs"/>
          <w:spacing w:val="-2"/>
          <w:rtl/>
        </w:rPr>
        <w:t>קיום</w:t>
      </w:r>
      <w:r w:rsidR="00AB4B15" w:rsidRPr="00AB4B15">
        <w:rPr>
          <w:spacing w:val="-2"/>
        </w:rPr>
        <w:t xml:space="preserve"> [see later in this </w:t>
      </w:r>
      <w:r w:rsidR="00AB4B15" w:rsidRPr="00AB4B15">
        <w:rPr>
          <w:rFonts w:hint="cs"/>
          <w:spacing w:val="-2"/>
          <w:rtl/>
        </w:rPr>
        <w:t>תוספות</w:t>
      </w:r>
      <w:r w:rsidR="00AB4B15" w:rsidRPr="00AB4B15">
        <w:rPr>
          <w:spacing w:val="-2"/>
        </w:rPr>
        <w:t>]</w:t>
      </w:r>
      <w:r w:rsidRPr="00AB4B15">
        <w:rPr>
          <w:spacing w:val="-2"/>
        </w:rPr>
        <w:t xml:space="preserve">), and nevertheless </w:t>
      </w:r>
      <w:r w:rsidRPr="00AB4B15">
        <w:rPr>
          <w:rFonts w:hint="cs"/>
          <w:spacing w:val="-2"/>
          <w:rtl/>
        </w:rPr>
        <w:t>מן התורה</w:t>
      </w:r>
      <w:r w:rsidRPr="00AB4B15">
        <w:rPr>
          <w:spacing w:val="-2"/>
        </w:rPr>
        <w:t xml:space="preserve"> the </w:t>
      </w:r>
      <w:r w:rsidRPr="00AB4B15">
        <w:rPr>
          <w:rFonts w:hint="cs"/>
          <w:spacing w:val="-2"/>
          <w:rtl/>
        </w:rPr>
        <w:t>מלוה</w:t>
      </w:r>
      <w:r w:rsidRPr="00AB4B15">
        <w:rPr>
          <w:spacing w:val="-2"/>
        </w:rPr>
        <w:t xml:space="preserve"> can collect without </w:t>
      </w:r>
      <w:r w:rsidRPr="00AB4B15">
        <w:rPr>
          <w:rFonts w:hint="cs"/>
          <w:spacing w:val="-2"/>
          <w:rtl/>
        </w:rPr>
        <w:t>קיום</w:t>
      </w:r>
      <w:r w:rsidRPr="00AB4B15">
        <w:rPr>
          <w:spacing w:val="-2"/>
        </w:rPr>
        <w:t>.</w:t>
      </w:r>
    </w:p>
  </w:footnote>
  <w:footnote w:id="2">
    <w:p w:rsidR="00D44CE5" w:rsidRDefault="00D44CE5" w:rsidP="00AB4B15">
      <w:pPr>
        <w:pStyle w:val="FootnoteText"/>
        <w:widowControl w:val="0"/>
        <w:spacing w:line="264" w:lineRule="auto"/>
      </w:pPr>
      <w:r>
        <w:rPr>
          <w:rStyle w:val="FootnoteReference"/>
        </w:rPr>
        <w:footnoteRef/>
      </w:r>
      <w:r>
        <w:t xml:space="preserve"> </w:t>
      </w:r>
      <w:r>
        <w:rPr>
          <w:rFonts w:hint="cs"/>
          <w:rtl/>
        </w:rPr>
        <w:t>תוס'</w:t>
      </w:r>
      <w:r>
        <w:t xml:space="preserve"> cannot understand how is it possible that </w:t>
      </w:r>
      <w:r>
        <w:rPr>
          <w:rFonts w:hint="cs"/>
          <w:rtl/>
        </w:rPr>
        <w:t>מן התורה</w:t>
      </w:r>
      <w:r>
        <w:t xml:space="preserve"> even if the </w:t>
      </w:r>
      <w:r>
        <w:rPr>
          <w:rFonts w:hint="cs"/>
          <w:rtl/>
        </w:rPr>
        <w:t>לוה</w:t>
      </w:r>
      <w:r>
        <w:t xml:space="preserve"> (or </w:t>
      </w:r>
      <w:r>
        <w:rPr>
          <w:rFonts w:hint="cs"/>
          <w:rtl/>
        </w:rPr>
        <w:t>מוכר</w:t>
      </w:r>
      <w:r>
        <w:t>) claims that the note (of sale) is forged, he will have have no recourse at all, and the holder of the note will collect with it. We can imagine the chaos that will result from such a ruling!</w:t>
      </w:r>
    </w:p>
  </w:footnote>
  <w:footnote w:id="3">
    <w:p w:rsidR="00D44CE5" w:rsidRDefault="00D44CE5" w:rsidP="00AB4B15">
      <w:pPr>
        <w:pStyle w:val="FootnoteText"/>
        <w:widowControl w:val="0"/>
        <w:spacing w:line="264" w:lineRule="auto"/>
      </w:pPr>
      <w:r>
        <w:rPr>
          <w:rStyle w:val="FootnoteReference"/>
        </w:rPr>
        <w:footnoteRef/>
      </w:r>
      <w:r>
        <w:t xml:space="preserve"> The </w:t>
      </w:r>
      <w:r>
        <w:rPr>
          <w:rFonts w:hint="cs"/>
          <w:rtl/>
        </w:rPr>
        <w:t>ר"י</w:t>
      </w:r>
      <w:r>
        <w:t xml:space="preserve"> attempts to answer that [obviously] if the </w:t>
      </w:r>
      <w:r>
        <w:rPr>
          <w:rFonts w:hint="cs"/>
          <w:rtl/>
        </w:rPr>
        <w:t>לוה</w:t>
      </w:r>
      <w:r>
        <w:t xml:space="preserve"> (or </w:t>
      </w:r>
      <w:r>
        <w:rPr>
          <w:rFonts w:hint="cs"/>
          <w:rtl/>
        </w:rPr>
        <w:t>מוכר</w:t>
      </w:r>
      <w:r>
        <w:t xml:space="preserve">) claims that the </w:t>
      </w:r>
      <w:r>
        <w:rPr>
          <w:rFonts w:hint="cs"/>
          <w:rtl/>
        </w:rPr>
        <w:t>שטר</w:t>
      </w:r>
      <w:r>
        <w:t xml:space="preserve"> is </w:t>
      </w:r>
      <w:r>
        <w:rPr>
          <w:rFonts w:hint="cs"/>
          <w:rtl/>
        </w:rPr>
        <w:t>מזויף</w:t>
      </w:r>
      <w:r>
        <w:t xml:space="preserve">, it will require </w:t>
      </w:r>
      <w:r>
        <w:rPr>
          <w:rFonts w:hint="cs"/>
          <w:rtl/>
        </w:rPr>
        <w:t>קיום</w:t>
      </w:r>
      <w:r>
        <w:t xml:space="preserve"> even </w:t>
      </w:r>
      <w:r>
        <w:rPr>
          <w:rFonts w:hint="cs"/>
          <w:rtl/>
        </w:rPr>
        <w:t>מדאורייתא</w:t>
      </w:r>
      <w:r>
        <w:t xml:space="preserve">, and when the </w:t>
      </w:r>
      <w:r>
        <w:rPr>
          <w:rFonts w:hint="cs"/>
          <w:rtl/>
        </w:rPr>
        <w:t>גמרא</w:t>
      </w:r>
      <w:r>
        <w:t xml:space="preserve"> states here that </w:t>
      </w:r>
      <w:r>
        <w:rPr>
          <w:rFonts w:hint="cs"/>
          <w:rtl/>
        </w:rPr>
        <w:t>קיום שטרות דרבנן</w:t>
      </w:r>
      <w:r>
        <w:t xml:space="preserve"> it is referring to a specific case.</w:t>
      </w:r>
    </w:p>
  </w:footnote>
  <w:footnote w:id="4">
    <w:p w:rsidR="00AB4B15" w:rsidRPr="00AB4B15" w:rsidRDefault="00AB4B15" w:rsidP="00AB4B15">
      <w:pPr>
        <w:pStyle w:val="FootnoteText"/>
        <w:widowControl w:val="0"/>
        <w:spacing w:line="264" w:lineRule="auto"/>
        <w:rPr>
          <w:spacing w:val="-2"/>
        </w:rPr>
      </w:pPr>
      <w:r w:rsidRPr="00AB4B15">
        <w:rPr>
          <w:rStyle w:val="FootnoteReference"/>
          <w:spacing w:val="-2"/>
        </w:rPr>
        <w:footnoteRef/>
      </w:r>
      <w:r w:rsidRPr="00AB4B15">
        <w:rPr>
          <w:spacing w:val="-2"/>
        </w:rPr>
        <w:t xml:space="preserve"> This refers to the </w:t>
      </w:r>
      <w:r w:rsidRPr="00AB4B15">
        <w:rPr>
          <w:rFonts w:hint="cs"/>
          <w:spacing w:val="-2"/>
          <w:rtl/>
        </w:rPr>
        <w:t>משנה</w:t>
      </w:r>
      <w:r w:rsidRPr="00AB4B15">
        <w:rPr>
          <w:spacing w:val="-2"/>
        </w:rPr>
        <w:t xml:space="preserve"> which states that a </w:t>
      </w:r>
      <w:r w:rsidRPr="00AB4B15">
        <w:rPr>
          <w:rFonts w:hint="cs"/>
          <w:spacing w:val="-2"/>
          <w:rtl/>
        </w:rPr>
        <w:t>קטן שנעשה גדול</w:t>
      </w:r>
      <w:r w:rsidRPr="00AB4B15">
        <w:rPr>
          <w:spacing w:val="-2"/>
        </w:rPr>
        <w:t xml:space="preserve"> and a </w:t>
      </w:r>
      <w:r w:rsidRPr="00AB4B15">
        <w:rPr>
          <w:rFonts w:hint="cs"/>
          <w:spacing w:val="-2"/>
          <w:rtl/>
        </w:rPr>
        <w:t>גדול שעמו</w:t>
      </w:r>
      <w:r w:rsidRPr="00AB4B15">
        <w:rPr>
          <w:spacing w:val="-2"/>
        </w:rPr>
        <w:t xml:space="preserve"> can be </w:t>
      </w:r>
      <w:r w:rsidRPr="00AB4B15">
        <w:rPr>
          <w:rFonts w:hint="cs"/>
          <w:spacing w:val="-2"/>
          <w:rtl/>
        </w:rPr>
        <w:t>מקיים</w:t>
      </w:r>
      <w:r w:rsidRPr="00AB4B15">
        <w:rPr>
          <w:spacing w:val="-2"/>
        </w:rPr>
        <w:t xml:space="preserve"> the </w:t>
      </w:r>
      <w:r w:rsidRPr="00AB4B15">
        <w:rPr>
          <w:rFonts w:hint="cs"/>
          <w:spacing w:val="-2"/>
          <w:rtl/>
        </w:rPr>
        <w:t>שטר</w:t>
      </w:r>
      <w:r w:rsidRPr="00AB4B15">
        <w:rPr>
          <w:spacing w:val="-2"/>
        </w:rPr>
        <w:t xml:space="preserve">. </w:t>
      </w:r>
      <w:proofErr w:type="gramStart"/>
      <w:r w:rsidRPr="00AB4B15">
        <w:rPr>
          <w:spacing w:val="-2"/>
        </w:rPr>
        <w:t>See ‘Thinking it over’.</w:t>
      </w:r>
      <w:proofErr w:type="gramEnd"/>
    </w:p>
  </w:footnote>
  <w:footnote w:id="5">
    <w:p w:rsidR="00AB4B15" w:rsidRDefault="00AB4B15" w:rsidP="00AB4B15">
      <w:pPr>
        <w:pStyle w:val="FootnoteText"/>
        <w:widowControl w:val="0"/>
        <w:spacing w:line="264" w:lineRule="auto"/>
      </w:pPr>
      <w:r>
        <w:rPr>
          <w:rStyle w:val="FootnoteReference"/>
        </w:rPr>
        <w:footnoteRef/>
      </w:r>
      <w:r>
        <w:t xml:space="preserve"> </w:t>
      </w:r>
      <w:r>
        <w:rPr>
          <w:rFonts w:hint="cs"/>
          <w:rtl/>
        </w:rPr>
        <w:t>מודה בשטר שכתבו צריך לקיימו</w:t>
      </w:r>
      <w:r>
        <w:t xml:space="preserve"> means that if the </w:t>
      </w:r>
      <w:r>
        <w:rPr>
          <w:rFonts w:hint="cs"/>
          <w:rtl/>
        </w:rPr>
        <w:t>לוה</w:t>
      </w:r>
      <w:r>
        <w:t xml:space="preserve"> admits that the </w:t>
      </w:r>
      <w:r>
        <w:rPr>
          <w:rFonts w:hint="cs"/>
          <w:rtl/>
        </w:rPr>
        <w:t>שטר</w:t>
      </w:r>
      <w:r>
        <w:t xml:space="preserve"> was written on his say so (i.e. </w:t>
      </w:r>
      <w:proofErr w:type="gramStart"/>
      <w:r>
        <w:t>he</w:t>
      </w:r>
      <w:proofErr w:type="gramEnd"/>
      <w:r>
        <w:t xml:space="preserve"> admits to borrowing the money) however he claims that the debt was paid, the rule is (according to this </w:t>
      </w:r>
      <w:r>
        <w:rPr>
          <w:rFonts w:hint="cs"/>
          <w:rtl/>
        </w:rPr>
        <w:t>מ"ד</w:t>
      </w:r>
      <w:r>
        <w:t xml:space="preserve">) that the </w:t>
      </w:r>
      <w:r>
        <w:rPr>
          <w:rFonts w:hint="cs"/>
          <w:rtl/>
        </w:rPr>
        <w:t>מלוה</w:t>
      </w:r>
      <w:r>
        <w:t xml:space="preserve"> cannot collect unless he is first </w:t>
      </w:r>
      <w:r>
        <w:rPr>
          <w:rFonts w:hint="cs"/>
          <w:rtl/>
        </w:rPr>
        <w:t>מקיים</w:t>
      </w:r>
      <w:r>
        <w:t xml:space="preserve"> the </w:t>
      </w:r>
      <w:r>
        <w:rPr>
          <w:rFonts w:hint="cs"/>
          <w:rtl/>
        </w:rPr>
        <w:t>שטר</w:t>
      </w:r>
      <w:r>
        <w:t xml:space="preserve">; otherwise the </w:t>
      </w:r>
      <w:r>
        <w:rPr>
          <w:rFonts w:hint="cs"/>
          <w:rtl/>
        </w:rPr>
        <w:t>לוה</w:t>
      </w:r>
      <w:r>
        <w:t xml:space="preserve"> has a </w:t>
      </w:r>
      <w:r>
        <w:rPr>
          <w:rFonts w:hint="cs"/>
          <w:rtl/>
        </w:rPr>
        <w:t>מיגו</w:t>
      </w:r>
      <w:r>
        <w:t xml:space="preserve"> of </w:t>
      </w:r>
      <w:r>
        <w:rPr>
          <w:rFonts w:hint="cs"/>
          <w:rtl/>
        </w:rPr>
        <w:t>מזוייף</w:t>
      </w:r>
      <w:r>
        <w:t xml:space="preserve">. This requirement (according to the </w:t>
      </w:r>
      <w:r>
        <w:rPr>
          <w:rFonts w:hint="cs"/>
          <w:rtl/>
        </w:rPr>
        <w:t>מ"ד צריך לקיימו</w:t>
      </w:r>
      <w:r>
        <w:t xml:space="preserve">) is only </w:t>
      </w:r>
      <w:r>
        <w:rPr>
          <w:rFonts w:hint="cs"/>
          <w:rtl/>
        </w:rPr>
        <w:t>מדרבנן</w:t>
      </w:r>
      <w:r>
        <w:t xml:space="preserve">. Another </w:t>
      </w:r>
      <w:r>
        <w:rPr>
          <w:rFonts w:hint="cs"/>
          <w:rtl/>
        </w:rPr>
        <w:t>מ"ד</w:t>
      </w:r>
      <w:r>
        <w:t xml:space="preserve"> maintains that no </w:t>
      </w:r>
      <w:r>
        <w:rPr>
          <w:rFonts w:hint="cs"/>
          <w:rtl/>
        </w:rPr>
        <w:t>קיום</w:t>
      </w:r>
      <w:r>
        <w:t xml:space="preserve"> is required even </w:t>
      </w:r>
      <w:r>
        <w:rPr>
          <w:rFonts w:hint="cs"/>
          <w:rtl/>
        </w:rPr>
        <w:t>מדרבנן</w:t>
      </w:r>
      <w:r>
        <w:t>.</w:t>
      </w:r>
    </w:p>
  </w:footnote>
  <w:footnote w:id="6">
    <w:p w:rsidR="00AB4B15" w:rsidRDefault="00AB4B15" w:rsidP="00AB4B15">
      <w:pPr>
        <w:pStyle w:val="FootnoteText"/>
        <w:widowControl w:val="0"/>
        <w:spacing w:line="264" w:lineRule="auto"/>
      </w:pPr>
      <w:r>
        <w:rPr>
          <w:rStyle w:val="FootnoteReference"/>
        </w:rPr>
        <w:footnoteRef/>
      </w:r>
      <w:r>
        <w:t xml:space="preserve"> We know for sure that the </w:t>
      </w:r>
      <w:r>
        <w:rPr>
          <w:rFonts w:hint="cs"/>
          <w:rtl/>
        </w:rPr>
        <w:t>שטר</w:t>
      </w:r>
      <w:r>
        <w:t xml:space="preserve"> is valid, since the </w:t>
      </w:r>
      <w:r>
        <w:rPr>
          <w:rFonts w:hint="cs"/>
          <w:rtl/>
        </w:rPr>
        <w:t>לוה</w:t>
      </w:r>
      <w:r>
        <w:t xml:space="preserve"> admits to borrowing; the purpose of the </w:t>
      </w:r>
      <w:r>
        <w:rPr>
          <w:rFonts w:hint="cs"/>
          <w:rtl/>
        </w:rPr>
        <w:t>קיום</w:t>
      </w:r>
      <w:r>
        <w:t xml:space="preserve"> is to remove the </w:t>
      </w:r>
      <w:r>
        <w:rPr>
          <w:rFonts w:hint="cs"/>
          <w:rtl/>
        </w:rPr>
        <w:t>מגו</w:t>
      </w:r>
      <w:r>
        <w:t xml:space="preserve"> of the </w:t>
      </w:r>
      <w:r>
        <w:rPr>
          <w:rFonts w:hint="cs"/>
          <w:rtl/>
        </w:rPr>
        <w:t>לוה</w:t>
      </w:r>
      <w:r>
        <w:t xml:space="preserve"> to claim </w:t>
      </w:r>
      <w:r>
        <w:rPr>
          <w:rFonts w:hint="cs"/>
          <w:rtl/>
        </w:rPr>
        <w:t>מזויף</w:t>
      </w:r>
      <w:r>
        <w:t xml:space="preserve">. This </w:t>
      </w:r>
      <w:r>
        <w:rPr>
          <w:rFonts w:hint="cs"/>
          <w:rtl/>
        </w:rPr>
        <w:t>קיום</w:t>
      </w:r>
      <w:r>
        <w:t xml:space="preserve"> can be understood to be only </w:t>
      </w:r>
      <w:r>
        <w:rPr>
          <w:rFonts w:hint="cs"/>
          <w:rtl/>
        </w:rPr>
        <w:t>מדרבנן</w:t>
      </w:r>
      <w:r>
        <w:t xml:space="preserve">, since the </w:t>
      </w:r>
      <w:r>
        <w:rPr>
          <w:rFonts w:hint="cs"/>
          <w:rtl/>
        </w:rPr>
        <w:t>מלוה</w:t>
      </w:r>
      <w:r>
        <w:t xml:space="preserve"> is holding a valid </w:t>
      </w:r>
      <w:r>
        <w:rPr>
          <w:rFonts w:hint="cs"/>
          <w:rtl/>
        </w:rPr>
        <w:t>שטר</w:t>
      </w:r>
      <w:r>
        <w:t>.</w:t>
      </w:r>
    </w:p>
  </w:footnote>
  <w:footnote w:id="7">
    <w:p w:rsidR="00AB4B15" w:rsidRPr="00AB4B15" w:rsidRDefault="00AB4B15" w:rsidP="00AB4B15">
      <w:pPr>
        <w:pStyle w:val="FootnoteText"/>
        <w:widowControl w:val="0"/>
        <w:spacing w:line="264" w:lineRule="auto"/>
      </w:pPr>
      <w:r>
        <w:rPr>
          <w:rStyle w:val="FootnoteReference"/>
        </w:rPr>
        <w:footnoteRef/>
      </w:r>
      <w:r>
        <w:t xml:space="preserve"> A </w:t>
      </w:r>
      <w:r>
        <w:rPr>
          <w:rFonts w:hint="cs"/>
          <w:rtl/>
        </w:rPr>
        <w:t>קיום משדה אחת</w:t>
      </w:r>
      <w:r>
        <w:t xml:space="preserve"> is not a valid </w:t>
      </w:r>
      <w:r>
        <w:rPr>
          <w:rFonts w:hint="cs"/>
          <w:rtl/>
        </w:rPr>
        <w:t>קיום מדרבנן</w:t>
      </w:r>
      <w:r>
        <w:t xml:space="preserve"> (we require two </w:t>
      </w:r>
      <w:r>
        <w:rPr>
          <w:rFonts w:hint="cs"/>
          <w:rtl/>
        </w:rPr>
        <w:t>שדות</w:t>
      </w:r>
      <w:r>
        <w:t xml:space="preserve"> [and </w:t>
      </w:r>
      <w:r>
        <w:rPr>
          <w:rFonts w:hint="cs"/>
          <w:rtl/>
        </w:rPr>
        <w:t>אינו יוצא מתח"י</w:t>
      </w:r>
      <w:r>
        <w:t>]).</w:t>
      </w:r>
    </w:p>
  </w:footnote>
  <w:footnote w:id="8">
    <w:p w:rsidR="00AB4B15" w:rsidRPr="00AB4B15" w:rsidRDefault="00AB4B15" w:rsidP="00AB4B15">
      <w:pPr>
        <w:pStyle w:val="FootnoteText"/>
        <w:widowControl w:val="0"/>
        <w:spacing w:line="264" w:lineRule="auto"/>
      </w:pPr>
      <w:r>
        <w:rPr>
          <w:rStyle w:val="FootnoteReference"/>
        </w:rPr>
        <w:footnoteRef/>
      </w:r>
      <w:r>
        <w:t xml:space="preserve"> The </w:t>
      </w:r>
      <w:r>
        <w:rPr>
          <w:rFonts w:hint="cs"/>
          <w:rtl/>
        </w:rPr>
        <w:t>מלוה</w:t>
      </w:r>
      <w:r>
        <w:t xml:space="preserve"> of the </w:t>
      </w:r>
      <w:r>
        <w:rPr>
          <w:rFonts w:hint="cs"/>
          <w:rtl/>
        </w:rPr>
        <w:t>שטר</w:t>
      </w:r>
      <w:r>
        <w:t xml:space="preserve"> in question has other </w:t>
      </w:r>
      <w:r>
        <w:rPr>
          <w:rFonts w:hint="cs"/>
          <w:rtl/>
        </w:rPr>
        <w:t>שטרות</w:t>
      </w:r>
      <w:r>
        <w:t xml:space="preserve"> which he is holding that the same </w:t>
      </w:r>
      <w:r>
        <w:rPr>
          <w:rFonts w:hint="cs"/>
          <w:rtl/>
        </w:rPr>
        <w:t>עדים</w:t>
      </w:r>
      <w:r>
        <w:t xml:space="preserve"> signed on them as well.</w:t>
      </w:r>
    </w:p>
  </w:footnote>
  <w:footnote w:id="9">
    <w:p w:rsidR="00AB4B15" w:rsidRDefault="00AB4B15" w:rsidP="00AB4B15">
      <w:pPr>
        <w:pStyle w:val="FootnoteText"/>
        <w:widowControl w:val="0"/>
        <w:spacing w:line="264" w:lineRule="auto"/>
      </w:pPr>
      <w:r>
        <w:rPr>
          <w:rStyle w:val="FootnoteReference"/>
        </w:rPr>
        <w:footnoteRef/>
      </w:r>
      <w:r>
        <w:t xml:space="preserve"> In this case too we have a </w:t>
      </w:r>
      <w:r>
        <w:rPr>
          <w:rFonts w:hint="cs"/>
          <w:rtl/>
        </w:rPr>
        <w:t>קיום</w:t>
      </w:r>
      <w:r>
        <w:t xml:space="preserve"> already, except that the </w:t>
      </w:r>
      <w:r>
        <w:rPr>
          <w:rFonts w:hint="cs"/>
          <w:rtl/>
        </w:rPr>
        <w:t>רבנן</w:t>
      </w:r>
      <w:r>
        <w:t xml:space="preserve"> </w:t>
      </w:r>
      <w:proofErr w:type="spellStart"/>
      <w:r>
        <w:t>were</w:t>
      </w:r>
      <w:proofErr w:type="spellEnd"/>
      <w:r>
        <w:t xml:space="preserve"> not satisfied and wanted a better </w:t>
      </w:r>
      <w:r>
        <w:rPr>
          <w:rFonts w:hint="cs"/>
          <w:rtl/>
        </w:rPr>
        <w:t>קיום</w:t>
      </w:r>
      <w:r>
        <w:t>.</w:t>
      </w:r>
    </w:p>
  </w:footnote>
  <w:footnote w:id="10">
    <w:p w:rsidR="00AB4B15" w:rsidRDefault="00AB4B15" w:rsidP="00AB4B15">
      <w:pPr>
        <w:pStyle w:val="FootnoteText"/>
        <w:widowControl w:val="0"/>
        <w:spacing w:line="264" w:lineRule="auto"/>
      </w:pPr>
      <w:r>
        <w:rPr>
          <w:rStyle w:val="FootnoteReference"/>
        </w:rPr>
        <w:footnoteRef/>
      </w:r>
      <w:r>
        <w:t xml:space="preserve"> The </w:t>
      </w:r>
      <w:r>
        <w:rPr>
          <w:rFonts w:hint="cs"/>
          <w:rtl/>
        </w:rPr>
        <w:t>גמרא</w:t>
      </w:r>
      <w:r>
        <w:t xml:space="preserve"> there asked how is one </w:t>
      </w:r>
      <w:r>
        <w:rPr>
          <w:rFonts w:hint="cs"/>
          <w:rtl/>
        </w:rPr>
        <w:t>שליח</w:t>
      </w:r>
      <w:r>
        <w:t xml:space="preserve"> believed to testify that the </w:t>
      </w:r>
      <w:r>
        <w:rPr>
          <w:rFonts w:hint="cs"/>
          <w:rtl/>
        </w:rPr>
        <w:t>גט</w:t>
      </w:r>
      <w:r>
        <w:t xml:space="preserve"> was signed properly, and answered that since </w:t>
      </w:r>
      <w:r>
        <w:rPr>
          <w:rFonts w:hint="cs"/>
          <w:rtl/>
        </w:rPr>
        <w:t>קיום שטרות מדרבנן</w:t>
      </w:r>
      <w:r>
        <w:t xml:space="preserve"> therefore by </w:t>
      </w:r>
      <w:r>
        <w:rPr>
          <w:rFonts w:hint="cs"/>
          <w:rtl/>
        </w:rPr>
        <w:t>גט</w:t>
      </w:r>
      <w:r>
        <w:t xml:space="preserve"> where there is the concern of </w:t>
      </w:r>
      <w:r>
        <w:rPr>
          <w:rFonts w:hint="cs"/>
          <w:rtl/>
        </w:rPr>
        <w:t>עגונה</w:t>
      </w:r>
      <w:r>
        <w:t xml:space="preserve">, the </w:t>
      </w:r>
      <w:r>
        <w:rPr>
          <w:rFonts w:hint="cs"/>
          <w:rtl/>
        </w:rPr>
        <w:t>חכמים</w:t>
      </w:r>
      <w:r>
        <w:t xml:space="preserve"> were lenient allowed one </w:t>
      </w:r>
      <w:r>
        <w:rPr>
          <w:rFonts w:hint="cs"/>
          <w:rtl/>
        </w:rPr>
        <w:t>עד</w:t>
      </w:r>
      <w:r>
        <w:t xml:space="preserve"> to be believed. It is evident that in general </w:t>
      </w:r>
      <w:r>
        <w:rPr>
          <w:rFonts w:hint="cs"/>
          <w:rtl/>
        </w:rPr>
        <w:t>קיום</w:t>
      </w:r>
      <w:r>
        <w:t xml:space="preserve"> is only </w:t>
      </w:r>
      <w:r>
        <w:rPr>
          <w:rFonts w:hint="cs"/>
          <w:rtl/>
        </w:rPr>
        <w:t>מדרבנן</w:t>
      </w:r>
      <w:r>
        <w:t>.</w:t>
      </w:r>
    </w:p>
  </w:footnote>
  <w:footnote w:id="11">
    <w:p w:rsidR="00AB4B15" w:rsidRDefault="00AB4B15" w:rsidP="007E284B">
      <w:pPr>
        <w:pStyle w:val="FootnoteText"/>
        <w:widowControl w:val="0"/>
        <w:spacing w:line="264" w:lineRule="auto"/>
      </w:pPr>
      <w:r>
        <w:rPr>
          <w:rStyle w:val="FootnoteReference"/>
        </w:rPr>
        <w:footnoteRef/>
      </w:r>
      <w:r>
        <w:t xml:space="preserve"> See footnote # </w:t>
      </w:r>
      <w:r w:rsidR="007E284B">
        <w:t>5</w:t>
      </w:r>
      <w:bookmarkStart w:id="0" w:name="_GoBack"/>
      <w:bookmarkEnd w:id="0"/>
      <w:r>
        <w:t>.</w:t>
      </w:r>
    </w:p>
  </w:footnote>
  <w:footnote w:id="12">
    <w:p w:rsidR="00AB4B15" w:rsidRPr="00AB4B15" w:rsidRDefault="00AB4B15" w:rsidP="00AB4B15">
      <w:pPr>
        <w:pStyle w:val="FootnoteText"/>
        <w:widowControl w:val="0"/>
        <w:spacing w:line="264" w:lineRule="auto"/>
      </w:pPr>
      <w:r>
        <w:rPr>
          <w:rStyle w:val="FootnoteReference"/>
        </w:rPr>
        <w:footnoteRef/>
      </w:r>
      <w:r>
        <w:t xml:space="preserve"> See </w:t>
      </w:r>
      <w:r>
        <w:rPr>
          <w:rFonts w:hint="cs"/>
          <w:rtl/>
        </w:rPr>
        <w:t>ב"ב לד</w:t>
      </w:r>
      <w:proofErr w:type="gramStart"/>
      <w:r>
        <w:rPr>
          <w:rFonts w:hint="cs"/>
          <w:rtl/>
        </w:rPr>
        <w:t>,א</w:t>
      </w:r>
      <w:proofErr w:type="gramEnd"/>
      <w:r>
        <w:t>.</w:t>
      </w:r>
    </w:p>
  </w:footnote>
  <w:footnote w:id="13">
    <w:p w:rsidR="00AB4B15" w:rsidRDefault="00AB4B15" w:rsidP="00AB4B15">
      <w:pPr>
        <w:pStyle w:val="FootnoteText"/>
        <w:widowControl w:val="0"/>
        <w:spacing w:line="264" w:lineRule="auto"/>
      </w:pPr>
      <w:r>
        <w:rPr>
          <w:rStyle w:val="FootnoteReference"/>
        </w:rPr>
        <w:footnoteRef/>
      </w:r>
      <w:r>
        <w:t xml:space="preserve"> See </w:t>
      </w:r>
      <w:r>
        <w:rPr>
          <w:rFonts w:hint="cs"/>
          <w:rtl/>
        </w:rPr>
        <w:t>אילת אהובים</w:t>
      </w:r>
      <w:r>
        <w:t xml:space="preserve"> and </w:t>
      </w:r>
      <w:r>
        <w:rPr>
          <w:rFonts w:hint="cs"/>
          <w:rtl/>
        </w:rPr>
        <w:t>משכנות הרועים אות תתקמה</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CE5" w:rsidRPr="00AB4B15" w:rsidRDefault="00D44CE5" w:rsidP="00D44CE5">
    <w:pPr>
      <w:pStyle w:val="Header"/>
      <w:bidi/>
      <w:rPr>
        <w:sz w:val="24"/>
        <w:szCs w:val="24"/>
      </w:rPr>
    </w:pPr>
    <w:r w:rsidRPr="00AB4B15">
      <w:rPr>
        <w:rFonts w:hint="cs"/>
        <w:sz w:val="24"/>
        <w:szCs w:val="24"/>
        <w:rtl/>
      </w:rPr>
      <w:t>בס"ד. כתובות כח,א תוס' ד"ה קיום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D4"/>
    <w:rsid w:val="003D4453"/>
    <w:rsid w:val="00510190"/>
    <w:rsid w:val="005817D4"/>
    <w:rsid w:val="007E284B"/>
    <w:rsid w:val="00957309"/>
    <w:rsid w:val="00981D23"/>
    <w:rsid w:val="009F3091"/>
    <w:rsid w:val="00AB4B15"/>
    <w:rsid w:val="00C46CC0"/>
    <w:rsid w:val="00D44CE5"/>
    <w:rsid w:val="00D46613"/>
    <w:rsid w:val="00D71F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CE5"/>
    <w:pPr>
      <w:tabs>
        <w:tab w:val="center" w:pos="4680"/>
        <w:tab w:val="right" w:pos="9360"/>
      </w:tabs>
      <w:spacing w:line="240" w:lineRule="auto"/>
    </w:pPr>
  </w:style>
  <w:style w:type="character" w:customStyle="1" w:styleId="HeaderChar">
    <w:name w:val="Header Char"/>
    <w:basedOn w:val="DefaultParagraphFont"/>
    <w:link w:val="Header"/>
    <w:uiPriority w:val="99"/>
    <w:rsid w:val="00D44CE5"/>
  </w:style>
  <w:style w:type="paragraph" w:styleId="Footer">
    <w:name w:val="footer"/>
    <w:basedOn w:val="Normal"/>
    <w:link w:val="FooterChar"/>
    <w:uiPriority w:val="99"/>
    <w:unhideWhenUsed/>
    <w:rsid w:val="00D44CE5"/>
    <w:pPr>
      <w:tabs>
        <w:tab w:val="center" w:pos="4680"/>
        <w:tab w:val="right" w:pos="9360"/>
      </w:tabs>
      <w:spacing w:line="240" w:lineRule="auto"/>
    </w:pPr>
  </w:style>
  <w:style w:type="character" w:customStyle="1" w:styleId="FooterChar">
    <w:name w:val="Footer Char"/>
    <w:basedOn w:val="DefaultParagraphFont"/>
    <w:link w:val="Footer"/>
    <w:uiPriority w:val="99"/>
    <w:rsid w:val="00D44CE5"/>
  </w:style>
  <w:style w:type="paragraph" w:styleId="FootnoteText">
    <w:name w:val="footnote text"/>
    <w:basedOn w:val="Normal"/>
    <w:link w:val="FootnoteTextChar"/>
    <w:uiPriority w:val="99"/>
    <w:semiHidden/>
    <w:unhideWhenUsed/>
    <w:rsid w:val="00D44CE5"/>
    <w:pPr>
      <w:spacing w:line="240" w:lineRule="auto"/>
    </w:pPr>
    <w:rPr>
      <w:sz w:val="20"/>
      <w:szCs w:val="20"/>
    </w:rPr>
  </w:style>
  <w:style w:type="character" w:customStyle="1" w:styleId="FootnoteTextChar">
    <w:name w:val="Footnote Text Char"/>
    <w:basedOn w:val="DefaultParagraphFont"/>
    <w:link w:val="FootnoteText"/>
    <w:uiPriority w:val="99"/>
    <w:semiHidden/>
    <w:rsid w:val="00D44CE5"/>
    <w:rPr>
      <w:sz w:val="20"/>
      <w:szCs w:val="20"/>
    </w:rPr>
  </w:style>
  <w:style w:type="character" w:styleId="FootnoteReference">
    <w:name w:val="footnote reference"/>
    <w:basedOn w:val="DefaultParagraphFont"/>
    <w:uiPriority w:val="99"/>
    <w:semiHidden/>
    <w:unhideWhenUsed/>
    <w:rsid w:val="00D44CE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CE5"/>
    <w:pPr>
      <w:tabs>
        <w:tab w:val="center" w:pos="4680"/>
        <w:tab w:val="right" w:pos="9360"/>
      </w:tabs>
      <w:spacing w:line="240" w:lineRule="auto"/>
    </w:pPr>
  </w:style>
  <w:style w:type="character" w:customStyle="1" w:styleId="HeaderChar">
    <w:name w:val="Header Char"/>
    <w:basedOn w:val="DefaultParagraphFont"/>
    <w:link w:val="Header"/>
    <w:uiPriority w:val="99"/>
    <w:rsid w:val="00D44CE5"/>
  </w:style>
  <w:style w:type="paragraph" w:styleId="Footer">
    <w:name w:val="footer"/>
    <w:basedOn w:val="Normal"/>
    <w:link w:val="FooterChar"/>
    <w:uiPriority w:val="99"/>
    <w:unhideWhenUsed/>
    <w:rsid w:val="00D44CE5"/>
    <w:pPr>
      <w:tabs>
        <w:tab w:val="center" w:pos="4680"/>
        <w:tab w:val="right" w:pos="9360"/>
      </w:tabs>
      <w:spacing w:line="240" w:lineRule="auto"/>
    </w:pPr>
  </w:style>
  <w:style w:type="character" w:customStyle="1" w:styleId="FooterChar">
    <w:name w:val="Footer Char"/>
    <w:basedOn w:val="DefaultParagraphFont"/>
    <w:link w:val="Footer"/>
    <w:uiPriority w:val="99"/>
    <w:rsid w:val="00D44CE5"/>
  </w:style>
  <w:style w:type="paragraph" w:styleId="FootnoteText">
    <w:name w:val="footnote text"/>
    <w:basedOn w:val="Normal"/>
    <w:link w:val="FootnoteTextChar"/>
    <w:uiPriority w:val="99"/>
    <w:semiHidden/>
    <w:unhideWhenUsed/>
    <w:rsid w:val="00D44CE5"/>
    <w:pPr>
      <w:spacing w:line="240" w:lineRule="auto"/>
    </w:pPr>
    <w:rPr>
      <w:sz w:val="20"/>
      <w:szCs w:val="20"/>
    </w:rPr>
  </w:style>
  <w:style w:type="character" w:customStyle="1" w:styleId="FootnoteTextChar">
    <w:name w:val="Footnote Text Char"/>
    <w:basedOn w:val="DefaultParagraphFont"/>
    <w:link w:val="FootnoteText"/>
    <w:uiPriority w:val="99"/>
    <w:semiHidden/>
    <w:rsid w:val="00D44CE5"/>
    <w:rPr>
      <w:sz w:val="20"/>
      <w:szCs w:val="20"/>
    </w:rPr>
  </w:style>
  <w:style w:type="character" w:styleId="FootnoteReference">
    <w:name w:val="footnote reference"/>
    <w:basedOn w:val="DefaultParagraphFont"/>
    <w:uiPriority w:val="99"/>
    <w:semiHidden/>
    <w:unhideWhenUsed/>
    <w:rsid w:val="00D44C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20B2C-0D80-4456-9910-0B081AA8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6</cp:revision>
  <dcterms:created xsi:type="dcterms:W3CDTF">2015-11-05T18:07:00Z</dcterms:created>
  <dcterms:modified xsi:type="dcterms:W3CDTF">2015-12-07T00:10:00Z</dcterms:modified>
</cp:coreProperties>
</file>