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A8" w:rsidRDefault="009E037E" w:rsidP="004246A8">
      <w:pPr>
        <w:bidi/>
        <w:rPr>
          <w:b w:val="0"/>
          <w:bCs w:val="0"/>
          <w:sz w:val="32"/>
          <w:szCs w:val="32"/>
        </w:rPr>
      </w:pPr>
      <w:r w:rsidRPr="004246A8">
        <w:rPr>
          <w:sz w:val="36"/>
          <w:szCs w:val="36"/>
          <w:rtl/>
        </w:rPr>
        <w:t>ומה</w:t>
      </w:r>
      <w:r w:rsidR="004246A8">
        <w:rPr>
          <w:rFonts w:hint="cs"/>
          <w:rtl/>
        </w:rPr>
        <w:t xml:space="preserve"> </w:t>
      </w:r>
      <w:r w:rsidRPr="004246A8">
        <w:rPr>
          <w:sz w:val="32"/>
          <w:szCs w:val="32"/>
          <w:rtl/>
        </w:rPr>
        <w:t>בהמתן של צדיקים</w:t>
      </w:r>
      <w:r w:rsidR="004246A8">
        <w:rPr>
          <w:rFonts w:hint="cs"/>
          <w:sz w:val="32"/>
          <w:szCs w:val="32"/>
          <w:rtl/>
        </w:rPr>
        <w:t xml:space="preserve"> </w:t>
      </w:r>
      <w:r w:rsidR="004246A8">
        <w:rPr>
          <w:sz w:val="32"/>
          <w:szCs w:val="32"/>
          <w:rtl/>
        </w:rPr>
        <w:t>–</w:t>
      </w:r>
      <w:r w:rsidR="004246A8">
        <w:rPr>
          <w:rFonts w:hint="cs"/>
          <w:sz w:val="32"/>
          <w:szCs w:val="32"/>
          <w:rtl/>
        </w:rPr>
        <w:t xml:space="preserve"> </w:t>
      </w:r>
    </w:p>
    <w:p w:rsidR="004246A8" w:rsidRPr="004246A8" w:rsidRDefault="004246A8" w:rsidP="004246A8">
      <w:r>
        <w:rPr>
          <w:sz w:val="32"/>
          <w:szCs w:val="32"/>
        </w:rPr>
        <w:t xml:space="preserve">And what </w:t>
      </w:r>
      <w:r>
        <w:rPr>
          <w:b w:val="0"/>
          <w:bCs w:val="0"/>
          <w:sz w:val="32"/>
          <w:szCs w:val="32"/>
        </w:rPr>
        <w:t xml:space="preserve">if regarding </w:t>
      </w:r>
      <w:r>
        <w:rPr>
          <w:sz w:val="32"/>
          <w:szCs w:val="32"/>
        </w:rPr>
        <w:t>the animals of the righteous</w:t>
      </w:r>
    </w:p>
    <w:p w:rsidR="004246A8" w:rsidRPr="004246A8" w:rsidRDefault="004246A8" w:rsidP="004246A8">
      <w:pPr>
        <w:bidi/>
        <w:rPr>
          <w:b w:val="0"/>
          <w:bCs w:val="0"/>
          <w:sz w:val="24"/>
          <w:szCs w:val="24"/>
          <w:rtl/>
        </w:rPr>
      </w:pPr>
    </w:p>
    <w:p w:rsidR="004246A8" w:rsidRPr="004246A8" w:rsidRDefault="004246A8" w:rsidP="004246A8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4246A8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4246A8" w:rsidRPr="004246A8" w:rsidRDefault="004246A8" w:rsidP="004246A8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taught that </w:t>
      </w:r>
      <w:r>
        <w:rPr>
          <w:rFonts w:hint="cs"/>
          <w:b w:val="0"/>
          <w:bCs w:val="0"/>
          <w:rtl/>
        </w:rPr>
        <w:t>ר' אלעזר ב"ר יוסי</w:t>
      </w:r>
      <w:r>
        <w:rPr>
          <w:b w:val="0"/>
          <w:bCs w:val="0"/>
        </w:rPr>
        <w:t xml:space="preserve"> related that they were once </w:t>
      </w:r>
      <w:r>
        <w:rPr>
          <w:rFonts w:hint="cs"/>
          <w:b w:val="0"/>
          <w:bCs w:val="0"/>
          <w:rtl/>
        </w:rPr>
        <w:t>מעלה לכהונה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עבד</w:t>
      </w:r>
      <w:r>
        <w:rPr>
          <w:b w:val="0"/>
          <w:bCs w:val="0"/>
        </w:rPr>
        <w:t xml:space="preserve"> based on his (</w:t>
      </w:r>
      <w:r>
        <w:rPr>
          <w:rFonts w:hint="cs"/>
          <w:b w:val="0"/>
          <w:bCs w:val="0"/>
          <w:rtl/>
        </w:rPr>
        <w:t>ראב"י</w:t>
      </w:r>
      <w:r>
        <w:rPr>
          <w:b w:val="0"/>
          <w:bCs w:val="0"/>
        </w:rPr>
        <w:t xml:space="preserve">) testimony.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challenged this; how is it possible, for we know that Hashem prevents even the animals of </w:t>
      </w:r>
      <w:r>
        <w:rPr>
          <w:rFonts w:hint="cs"/>
          <w:b w:val="0"/>
          <w:bCs w:val="0"/>
          <w:rtl/>
        </w:rPr>
        <w:t>צדיקים</w:t>
      </w:r>
      <w:r>
        <w:rPr>
          <w:b w:val="0"/>
          <w:bCs w:val="0"/>
        </w:rPr>
        <w:t xml:space="preserve"> from causing a </w:t>
      </w:r>
      <w:r>
        <w:rPr>
          <w:rFonts w:hint="cs"/>
          <w:b w:val="0"/>
          <w:bCs w:val="0"/>
          <w:rtl/>
        </w:rPr>
        <w:t>תקלה</w:t>
      </w:r>
      <w:r>
        <w:rPr>
          <w:b w:val="0"/>
          <w:bCs w:val="0"/>
        </w:rPr>
        <w:t xml:space="preserve">, so certainly he will prevent the </w:t>
      </w:r>
      <w:r>
        <w:rPr>
          <w:rFonts w:hint="cs"/>
          <w:b w:val="0"/>
          <w:bCs w:val="0"/>
          <w:rtl/>
        </w:rPr>
        <w:t>צדיק</w:t>
      </w:r>
      <w:r>
        <w:rPr>
          <w:b w:val="0"/>
          <w:bCs w:val="0"/>
        </w:rPr>
        <w:t xml:space="preserve"> from creating a </w:t>
      </w:r>
      <w:r>
        <w:rPr>
          <w:rFonts w:hint="cs"/>
          <w:b w:val="0"/>
          <w:bCs w:val="0"/>
          <w:rtl/>
        </w:rPr>
        <w:t>תקלה</w:t>
      </w:r>
      <w:r>
        <w:rPr>
          <w:b w:val="0"/>
          <w:bCs w:val="0"/>
        </w:rPr>
        <w:t xml:space="preserve">. A succinct comment from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indicates that the question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is not that simple.  </w:t>
      </w:r>
    </w:p>
    <w:p w:rsidR="004246A8" w:rsidRDefault="004246A8" w:rsidP="004246A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9E037E" w:rsidRPr="004246A8" w:rsidRDefault="009E037E" w:rsidP="004246A8">
      <w:pPr>
        <w:bidi/>
        <w:rPr>
          <w:rFonts w:cs="David"/>
        </w:rPr>
      </w:pPr>
      <w:r w:rsidRPr="004246A8">
        <w:rPr>
          <w:rFonts w:cs="David"/>
          <w:rtl/>
        </w:rPr>
        <w:t>מפורש במקום אחר</w:t>
      </w:r>
      <w:r w:rsidR="004246A8" w:rsidRPr="004246A8">
        <w:rPr>
          <w:rStyle w:val="FootnoteReference"/>
          <w:rFonts w:cs="David"/>
          <w:rtl/>
        </w:rPr>
        <w:footnoteReference w:id="1"/>
      </w:r>
      <w:r w:rsidRPr="004246A8">
        <w:rPr>
          <w:rFonts w:cs="David"/>
          <w:rtl/>
        </w:rPr>
        <w:t xml:space="preserve"> </w:t>
      </w:r>
      <w:r w:rsidRPr="004246A8">
        <w:rPr>
          <w:rFonts w:cs="David"/>
          <w:sz w:val="20"/>
          <w:szCs w:val="20"/>
          <w:rtl/>
        </w:rPr>
        <w:t>(גיטין דף ז</w:t>
      </w:r>
      <w:r w:rsidR="004246A8" w:rsidRPr="004246A8">
        <w:rPr>
          <w:rFonts w:cs="David" w:hint="cs"/>
          <w:sz w:val="20"/>
          <w:szCs w:val="20"/>
          <w:rtl/>
        </w:rPr>
        <w:t>,א</w:t>
      </w:r>
      <w:r w:rsidR="004246A8" w:rsidRPr="004246A8">
        <w:rPr>
          <w:rStyle w:val="FootnoteReference"/>
          <w:rFonts w:cs="David"/>
          <w:sz w:val="20"/>
          <w:szCs w:val="20"/>
          <w:rtl/>
        </w:rPr>
        <w:footnoteReference w:id="2"/>
      </w:r>
      <w:r w:rsidR="004246A8" w:rsidRPr="004246A8">
        <w:rPr>
          <w:rFonts w:cs="David" w:hint="cs"/>
          <w:sz w:val="20"/>
          <w:szCs w:val="20"/>
          <w:rtl/>
        </w:rPr>
        <w:t>)</w:t>
      </w:r>
      <w:r w:rsidR="004246A8" w:rsidRPr="004246A8">
        <w:rPr>
          <w:rFonts w:cs="David" w:hint="cs"/>
          <w:rtl/>
        </w:rPr>
        <w:t>:</w:t>
      </w:r>
    </w:p>
    <w:p w:rsidR="003D4453" w:rsidRPr="004246A8" w:rsidRDefault="004246A8" w:rsidP="004246A8">
      <w:pPr>
        <w:rPr>
          <w:b w:val="0"/>
          <w:bCs w:val="0"/>
          <w:sz w:val="24"/>
          <w:szCs w:val="24"/>
        </w:rPr>
      </w:pPr>
      <w:r>
        <w:t xml:space="preserve">It is explained elsewhere </w:t>
      </w:r>
      <w:r w:rsidRPr="004246A8">
        <w:rPr>
          <w:b w:val="0"/>
          <w:bCs w:val="0"/>
          <w:sz w:val="24"/>
          <w:szCs w:val="24"/>
        </w:rPr>
        <w:t xml:space="preserve">in </w:t>
      </w:r>
      <w:r w:rsidRPr="004246A8">
        <w:rPr>
          <w:rFonts w:hint="cs"/>
          <w:b w:val="0"/>
          <w:bCs w:val="0"/>
          <w:sz w:val="24"/>
          <w:szCs w:val="24"/>
          <w:rtl/>
        </w:rPr>
        <w:t>תוספות</w:t>
      </w:r>
      <w:r w:rsidRPr="004246A8">
        <w:rPr>
          <w:b w:val="0"/>
          <w:bCs w:val="0"/>
          <w:sz w:val="24"/>
          <w:szCs w:val="24"/>
        </w:rPr>
        <w:t xml:space="preserve">, when we apply this rule of </w:t>
      </w:r>
      <w:r w:rsidRPr="004246A8">
        <w:rPr>
          <w:rFonts w:hint="cs"/>
          <w:b w:val="0"/>
          <w:bCs w:val="0"/>
          <w:sz w:val="24"/>
          <w:szCs w:val="24"/>
          <w:rtl/>
        </w:rPr>
        <w:t>ומה בהמתן וכו' צדיקים ע</w:t>
      </w:r>
      <w:r>
        <w:rPr>
          <w:rFonts w:hint="cs"/>
          <w:b w:val="0"/>
          <w:bCs w:val="0"/>
          <w:sz w:val="24"/>
          <w:szCs w:val="24"/>
          <w:rtl/>
        </w:rPr>
        <w:t>צ</w:t>
      </w:r>
      <w:r w:rsidRPr="004246A8">
        <w:rPr>
          <w:rFonts w:hint="cs"/>
          <w:b w:val="0"/>
          <w:bCs w:val="0"/>
          <w:sz w:val="24"/>
          <w:szCs w:val="24"/>
          <w:rtl/>
        </w:rPr>
        <w:t>מם לא כ"ש</w:t>
      </w:r>
      <w:r w:rsidR="00FE5FB6">
        <w:rPr>
          <w:b w:val="0"/>
          <w:bCs w:val="0"/>
          <w:sz w:val="24"/>
          <w:szCs w:val="24"/>
        </w:rPr>
        <w:t xml:space="preserve">, and when </w:t>
      </w:r>
      <w:proofErr w:type="gramStart"/>
      <w:r w:rsidR="00FE5FB6">
        <w:rPr>
          <w:b w:val="0"/>
          <w:bCs w:val="0"/>
          <w:sz w:val="24"/>
          <w:szCs w:val="24"/>
        </w:rPr>
        <w:t xml:space="preserve">not </w:t>
      </w:r>
      <w:r w:rsidRPr="004246A8">
        <w:rPr>
          <w:b w:val="0"/>
          <w:bCs w:val="0"/>
          <w:sz w:val="24"/>
          <w:szCs w:val="24"/>
        </w:rPr>
        <w:t>.</w:t>
      </w:r>
      <w:proofErr w:type="gramEnd"/>
    </w:p>
    <w:p w:rsidR="004246A8" w:rsidRPr="004246A8" w:rsidRDefault="004246A8" w:rsidP="004246A8">
      <w:pPr>
        <w:rPr>
          <w:sz w:val="24"/>
          <w:szCs w:val="24"/>
        </w:rPr>
      </w:pPr>
    </w:p>
    <w:p w:rsidR="004246A8" w:rsidRPr="004246A8" w:rsidRDefault="004246A8" w:rsidP="004246A8">
      <w:pPr>
        <w:rPr>
          <w:rFonts w:ascii="Copperplate Gothic Bold" w:hAnsi="Copperplate Gothic Bold"/>
          <w:b w:val="0"/>
          <w:bCs w:val="0"/>
          <w:u w:val="double"/>
        </w:rPr>
      </w:pPr>
      <w:r w:rsidRPr="004246A8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4246A8" w:rsidRDefault="004246A8" w:rsidP="004246A8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ק"ו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ומה בהמתן וכו'</w:t>
      </w:r>
      <w:r>
        <w:rPr>
          <w:b w:val="0"/>
          <w:bCs w:val="0"/>
        </w:rPr>
        <w:t xml:space="preserve"> is qualified elsewhere.</w:t>
      </w:r>
    </w:p>
    <w:p w:rsidR="004246A8" w:rsidRPr="004246A8" w:rsidRDefault="004246A8" w:rsidP="004246A8">
      <w:pPr>
        <w:rPr>
          <w:b w:val="0"/>
          <w:bCs w:val="0"/>
          <w:sz w:val="24"/>
          <w:szCs w:val="24"/>
        </w:rPr>
      </w:pPr>
    </w:p>
    <w:p w:rsidR="004246A8" w:rsidRPr="004246A8" w:rsidRDefault="004246A8" w:rsidP="004246A8">
      <w:pPr>
        <w:rPr>
          <w:rFonts w:ascii="Copperplate Gothic Bold" w:hAnsi="Copperplate Gothic Bold"/>
          <w:b w:val="0"/>
          <w:bCs w:val="0"/>
          <w:u w:val="double"/>
        </w:rPr>
      </w:pPr>
      <w:r w:rsidRPr="004246A8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4246A8" w:rsidRPr="004246A8" w:rsidRDefault="004246A8" w:rsidP="004246A8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(elsewhere) distinguishes between eating a </w:t>
      </w:r>
      <w:r>
        <w:rPr>
          <w:rFonts w:hint="cs"/>
          <w:b w:val="0"/>
          <w:bCs w:val="0"/>
          <w:rtl/>
        </w:rPr>
        <w:t>מאכל אסור</w:t>
      </w:r>
      <w:r>
        <w:rPr>
          <w:b w:val="0"/>
          <w:bCs w:val="0"/>
        </w:rPr>
        <w:t xml:space="preserve"> (like </w:t>
      </w:r>
      <w:r>
        <w:rPr>
          <w:rFonts w:hint="cs"/>
          <w:b w:val="0"/>
          <w:bCs w:val="0"/>
          <w:rtl/>
        </w:rPr>
        <w:t>טבל</w:t>
      </w:r>
      <w:r>
        <w:rPr>
          <w:b w:val="0"/>
          <w:bCs w:val="0"/>
        </w:rPr>
        <w:t xml:space="preserve">) where we apply the </w:t>
      </w:r>
      <w:r>
        <w:rPr>
          <w:rFonts w:hint="cs"/>
          <w:b w:val="0"/>
          <w:bCs w:val="0"/>
          <w:rtl/>
        </w:rPr>
        <w:t>ק"ו</w:t>
      </w:r>
      <w:r>
        <w:rPr>
          <w:b w:val="0"/>
          <w:bCs w:val="0"/>
        </w:rPr>
        <w:t xml:space="preserve">, and eating a </w:t>
      </w:r>
      <w:r>
        <w:rPr>
          <w:rFonts w:hint="cs"/>
          <w:b w:val="0"/>
          <w:bCs w:val="0"/>
          <w:rtl/>
        </w:rPr>
        <w:t>מאכל המותר</w:t>
      </w:r>
      <w:r>
        <w:rPr>
          <w:b w:val="0"/>
          <w:bCs w:val="0"/>
        </w:rPr>
        <w:t xml:space="preserve"> in a time where it is </w:t>
      </w:r>
      <w:r>
        <w:rPr>
          <w:rFonts w:hint="cs"/>
          <w:b w:val="0"/>
          <w:bCs w:val="0"/>
          <w:rtl/>
        </w:rPr>
        <w:t>אסור</w:t>
      </w:r>
      <w:r>
        <w:rPr>
          <w:b w:val="0"/>
          <w:bCs w:val="0"/>
        </w:rPr>
        <w:t xml:space="preserve"> (like eating before </w:t>
      </w:r>
      <w:r>
        <w:rPr>
          <w:rFonts w:hint="cs"/>
          <w:b w:val="0"/>
          <w:bCs w:val="0"/>
          <w:rtl/>
        </w:rPr>
        <w:t>הבדלה</w:t>
      </w:r>
      <w:r>
        <w:rPr>
          <w:b w:val="0"/>
          <w:bCs w:val="0"/>
        </w:rPr>
        <w:t xml:space="preserve"> or eating on </w:t>
      </w:r>
      <w:r>
        <w:rPr>
          <w:rFonts w:hint="cs"/>
          <w:b w:val="0"/>
          <w:bCs w:val="0"/>
          <w:rtl/>
        </w:rPr>
        <w:t>יו"כ</w:t>
      </w:r>
      <w:r>
        <w:rPr>
          <w:b w:val="0"/>
          <w:bCs w:val="0"/>
        </w:rPr>
        <w:t xml:space="preserve">) where the </w:t>
      </w:r>
      <w:r>
        <w:rPr>
          <w:rFonts w:hint="cs"/>
          <w:b w:val="0"/>
          <w:bCs w:val="0"/>
          <w:rtl/>
        </w:rPr>
        <w:t>ק"ו</w:t>
      </w:r>
      <w:r>
        <w:rPr>
          <w:b w:val="0"/>
          <w:bCs w:val="0"/>
        </w:rPr>
        <w:t xml:space="preserve"> does not apply (since it is not such a </w:t>
      </w:r>
      <w:r>
        <w:rPr>
          <w:rFonts w:hint="cs"/>
          <w:b w:val="0"/>
          <w:bCs w:val="0"/>
          <w:rtl/>
        </w:rPr>
        <w:t>גנאי</w:t>
      </w:r>
      <w:r>
        <w:rPr>
          <w:b w:val="0"/>
          <w:bCs w:val="0"/>
        </w:rPr>
        <w:t xml:space="preserve">). In which category is </w:t>
      </w:r>
      <w:r>
        <w:rPr>
          <w:rFonts w:hint="cs"/>
          <w:b w:val="0"/>
          <w:bCs w:val="0"/>
          <w:rtl/>
        </w:rPr>
        <w:t>תרומה לזר</w:t>
      </w:r>
      <w:r>
        <w:rPr>
          <w:b w:val="0"/>
          <w:bCs w:val="0"/>
        </w:rPr>
        <w:t xml:space="preserve">; is it considered a </w:t>
      </w:r>
      <w:r>
        <w:rPr>
          <w:rFonts w:hint="cs"/>
          <w:b w:val="0"/>
          <w:bCs w:val="0"/>
          <w:rtl/>
        </w:rPr>
        <w:t>מאכל אסור</w:t>
      </w:r>
      <w:r>
        <w:rPr>
          <w:b w:val="0"/>
          <w:bCs w:val="0"/>
        </w:rPr>
        <w:t xml:space="preserve"> because the </w:t>
      </w:r>
      <w:r>
        <w:rPr>
          <w:rFonts w:hint="cs"/>
          <w:b w:val="0"/>
          <w:bCs w:val="0"/>
          <w:rtl/>
        </w:rPr>
        <w:t>זר</w:t>
      </w:r>
      <w:r>
        <w:rPr>
          <w:b w:val="0"/>
          <w:bCs w:val="0"/>
        </w:rPr>
        <w:t xml:space="preserve"> can never eat it, or is it considered a </w:t>
      </w:r>
      <w:r>
        <w:rPr>
          <w:rFonts w:hint="cs"/>
          <w:b w:val="0"/>
          <w:bCs w:val="0"/>
          <w:rtl/>
        </w:rPr>
        <w:t>מאכל המותר</w:t>
      </w:r>
      <w:r>
        <w:rPr>
          <w:b w:val="0"/>
          <w:bCs w:val="0"/>
        </w:rPr>
        <w:t xml:space="preserve"> (since </w:t>
      </w:r>
      <w:r>
        <w:rPr>
          <w:rFonts w:hint="cs"/>
          <w:b w:val="0"/>
          <w:bCs w:val="0"/>
          <w:rtl/>
        </w:rPr>
        <w:t>כהנים</w:t>
      </w:r>
      <w:r>
        <w:rPr>
          <w:b w:val="0"/>
          <w:bCs w:val="0"/>
        </w:rPr>
        <w:t xml:space="preserve"> may eat it) so it is not such a </w:t>
      </w:r>
      <w:r>
        <w:rPr>
          <w:rFonts w:hint="cs"/>
          <w:b w:val="0"/>
          <w:bCs w:val="0"/>
          <w:rtl/>
        </w:rPr>
        <w:t>גנאי</w:t>
      </w:r>
      <w:r>
        <w:rPr>
          <w:b w:val="0"/>
          <w:bCs w:val="0"/>
        </w:rPr>
        <w:t xml:space="preserve"> (especially since it is a </w:t>
      </w:r>
      <w:r>
        <w:rPr>
          <w:rFonts w:hint="cs"/>
          <w:b w:val="0"/>
          <w:bCs w:val="0"/>
          <w:rtl/>
        </w:rPr>
        <w:t>דבר הקדש</w:t>
      </w:r>
      <w:r>
        <w:rPr>
          <w:b w:val="0"/>
          <w:bCs w:val="0"/>
        </w:rPr>
        <w:t xml:space="preserve">)?! </w:t>
      </w:r>
    </w:p>
    <w:sectPr w:rsidR="004246A8" w:rsidRPr="004246A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0CE" w:rsidRDefault="00FB40CE" w:rsidP="004246A8">
      <w:pPr>
        <w:spacing w:line="240" w:lineRule="auto"/>
      </w:pPr>
      <w:r>
        <w:separator/>
      </w:r>
    </w:p>
  </w:endnote>
  <w:endnote w:type="continuationSeparator" w:id="0">
    <w:p w:rsidR="00FB40CE" w:rsidRDefault="00FB40CE" w:rsidP="004246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A8" w:rsidRPr="004246A8" w:rsidRDefault="004246A8" w:rsidP="004246A8">
    <w:pPr>
      <w:pStyle w:val="Footer"/>
      <w:jc w:val="center"/>
      <w:rPr>
        <w:b w:val="0"/>
        <w:bCs w:val="0"/>
        <w:sz w:val="16"/>
        <w:szCs w:val="16"/>
      </w:rPr>
    </w:pPr>
    <w:r w:rsidRPr="004246A8">
      <w:rPr>
        <w:b w:val="0"/>
        <w:bCs w:val="0"/>
        <w:sz w:val="16"/>
        <w:szCs w:val="16"/>
      </w:rPr>
      <w:t>TosfosInEnglish.com</w:t>
    </w:r>
  </w:p>
  <w:p w:rsidR="004246A8" w:rsidRDefault="004246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0CE" w:rsidRDefault="00FB40CE" w:rsidP="004246A8">
      <w:pPr>
        <w:spacing w:line="240" w:lineRule="auto"/>
      </w:pPr>
      <w:r>
        <w:separator/>
      </w:r>
    </w:p>
  </w:footnote>
  <w:footnote w:type="continuationSeparator" w:id="0">
    <w:p w:rsidR="00FB40CE" w:rsidRDefault="00FB40CE" w:rsidP="004246A8">
      <w:pPr>
        <w:spacing w:line="240" w:lineRule="auto"/>
      </w:pPr>
      <w:r>
        <w:continuationSeparator/>
      </w:r>
    </w:p>
  </w:footnote>
  <w:footnote w:id="1">
    <w:p w:rsidR="004246A8" w:rsidRPr="00A215A7" w:rsidRDefault="004246A8" w:rsidP="00F536C2">
      <w:pPr>
        <w:pStyle w:val="FootnoteText"/>
        <w:spacing w:line="264" w:lineRule="auto"/>
        <w:rPr>
          <w:b w:val="0"/>
          <w:bCs w:val="0"/>
        </w:rPr>
      </w:pPr>
      <w:r w:rsidRPr="00A215A7">
        <w:rPr>
          <w:rStyle w:val="FootnoteReference"/>
          <w:b w:val="0"/>
          <w:bCs w:val="0"/>
        </w:rPr>
        <w:footnoteRef/>
      </w:r>
      <w:r w:rsidRPr="00A215A7">
        <w:rPr>
          <w:b w:val="0"/>
          <w:bCs w:val="0"/>
        </w:rPr>
        <w:t xml:space="preserve"> </w:t>
      </w:r>
      <w:r w:rsidRPr="00A215A7">
        <w:rPr>
          <w:rFonts w:hint="cs"/>
          <w:b w:val="0"/>
          <w:bCs w:val="0"/>
          <w:rtl/>
        </w:rPr>
        <w:t>תוספות</w:t>
      </w:r>
      <w:r w:rsidRPr="00A215A7">
        <w:rPr>
          <w:b w:val="0"/>
          <w:bCs w:val="0"/>
        </w:rPr>
        <w:t xml:space="preserve"> explains (elsewhere) that this protection applies only to eating a forbidden food (but not for other </w:t>
      </w:r>
      <w:r w:rsidRPr="00A215A7">
        <w:rPr>
          <w:rFonts w:hint="cs"/>
          <w:b w:val="0"/>
          <w:bCs w:val="0"/>
          <w:rtl/>
        </w:rPr>
        <w:t>איסורים</w:t>
      </w:r>
      <w:r w:rsidRPr="00A215A7">
        <w:rPr>
          <w:b w:val="0"/>
          <w:bCs w:val="0"/>
        </w:rPr>
        <w:t xml:space="preserve">), since it is shameful that a </w:t>
      </w:r>
      <w:r w:rsidRPr="00A215A7">
        <w:rPr>
          <w:rFonts w:hint="cs"/>
          <w:b w:val="0"/>
          <w:bCs w:val="0"/>
          <w:rtl/>
        </w:rPr>
        <w:t>צדיק</w:t>
      </w:r>
      <w:r w:rsidRPr="00A215A7">
        <w:rPr>
          <w:b w:val="0"/>
          <w:bCs w:val="0"/>
        </w:rPr>
        <w:t xml:space="preserve"> ingest a </w:t>
      </w:r>
      <w:r w:rsidRPr="00A215A7">
        <w:rPr>
          <w:rFonts w:hint="cs"/>
          <w:b w:val="0"/>
          <w:bCs w:val="0"/>
          <w:rtl/>
        </w:rPr>
        <w:t>דבר האסור</w:t>
      </w:r>
      <w:r w:rsidRPr="00A215A7">
        <w:rPr>
          <w:b w:val="0"/>
          <w:bCs w:val="0"/>
        </w:rPr>
        <w:t xml:space="preserve">. In our case however, even though he caused </w:t>
      </w:r>
      <w:proofErr w:type="gramStart"/>
      <w:r w:rsidRPr="00A215A7">
        <w:rPr>
          <w:b w:val="0"/>
          <w:bCs w:val="0"/>
        </w:rPr>
        <w:t>an</w:t>
      </w:r>
      <w:proofErr w:type="gramEnd"/>
      <w:r w:rsidRPr="00A215A7">
        <w:rPr>
          <w:b w:val="0"/>
          <w:bCs w:val="0"/>
        </w:rPr>
        <w:t xml:space="preserve"> </w:t>
      </w:r>
      <w:r w:rsidRPr="00A215A7">
        <w:rPr>
          <w:rFonts w:hint="cs"/>
          <w:b w:val="0"/>
          <w:bCs w:val="0"/>
          <w:rtl/>
        </w:rPr>
        <w:t>עבד (שנשתחרר)</w:t>
      </w:r>
      <w:r w:rsidRPr="00A215A7">
        <w:rPr>
          <w:b w:val="0"/>
          <w:bCs w:val="0"/>
        </w:rPr>
        <w:t xml:space="preserve"> to eat </w:t>
      </w:r>
      <w:r w:rsidRPr="00A215A7">
        <w:rPr>
          <w:rFonts w:hint="cs"/>
          <w:b w:val="0"/>
          <w:bCs w:val="0"/>
          <w:rtl/>
        </w:rPr>
        <w:t>תרומה</w:t>
      </w:r>
      <w:r w:rsidRPr="00A215A7">
        <w:rPr>
          <w:b w:val="0"/>
          <w:bCs w:val="0"/>
        </w:rPr>
        <w:t xml:space="preserve"> (so it is a case of </w:t>
      </w:r>
      <w:r w:rsidRPr="00A215A7">
        <w:rPr>
          <w:rFonts w:hint="cs"/>
          <w:b w:val="0"/>
          <w:bCs w:val="0"/>
          <w:rtl/>
        </w:rPr>
        <w:t>אכילה</w:t>
      </w:r>
      <w:r w:rsidRPr="00A215A7">
        <w:rPr>
          <w:b w:val="0"/>
          <w:bCs w:val="0"/>
        </w:rPr>
        <w:t xml:space="preserve">), nevertheless the </w:t>
      </w:r>
      <w:r w:rsidRPr="00A215A7">
        <w:rPr>
          <w:rFonts w:hint="cs"/>
          <w:b w:val="0"/>
          <w:bCs w:val="0"/>
          <w:rtl/>
        </w:rPr>
        <w:t>צדיק</w:t>
      </w:r>
      <w:r w:rsidRPr="00A215A7">
        <w:rPr>
          <w:b w:val="0"/>
          <w:bCs w:val="0"/>
        </w:rPr>
        <w:t xml:space="preserve"> did not eat a </w:t>
      </w:r>
      <w:r w:rsidRPr="00A215A7">
        <w:rPr>
          <w:rFonts w:hint="cs"/>
          <w:b w:val="0"/>
          <w:bCs w:val="0"/>
          <w:rtl/>
        </w:rPr>
        <w:t>דבר האסור</w:t>
      </w:r>
      <w:r w:rsidRPr="00A215A7">
        <w:rPr>
          <w:b w:val="0"/>
          <w:bCs w:val="0"/>
        </w:rPr>
        <w:t xml:space="preserve">. The </w:t>
      </w:r>
      <w:r w:rsidRPr="00A215A7">
        <w:rPr>
          <w:rFonts w:hint="cs"/>
          <w:b w:val="0"/>
          <w:bCs w:val="0"/>
          <w:rtl/>
        </w:rPr>
        <w:t>ר"ת</w:t>
      </w:r>
      <w:r w:rsidRPr="00A215A7">
        <w:rPr>
          <w:b w:val="0"/>
          <w:bCs w:val="0"/>
        </w:rPr>
        <w:t xml:space="preserve"> </w:t>
      </w:r>
      <w:r w:rsidR="00F536C2">
        <w:rPr>
          <w:b w:val="0"/>
          <w:bCs w:val="0"/>
        </w:rPr>
        <w:t xml:space="preserve">(in </w:t>
      </w:r>
      <w:r w:rsidR="00F536C2">
        <w:rPr>
          <w:rFonts w:hint="cs"/>
          <w:b w:val="0"/>
          <w:bCs w:val="0"/>
          <w:rtl/>
        </w:rPr>
        <w:t>גיטין ז</w:t>
      </w:r>
      <w:proofErr w:type="gramStart"/>
      <w:r w:rsidR="00F536C2">
        <w:rPr>
          <w:rFonts w:hint="cs"/>
          <w:b w:val="0"/>
          <w:bCs w:val="0"/>
          <w:rtl/>
        </w:rPr>
        <w:t>,א</w:t>
      </w:r>
      <w:proofErr w:type="gramEnd"/>
      <w:r w:rsidR="00F536C2">
        <w:rPr>
          <w:rFonts w:hint="cs"/>
          <w:b w:val="0"/>
          <w:bCs w:val="0"/>
          <w:rtl/>
        </w:rPr>
        <w:t xml:space="preserve"> ד"ה השתא</w:t>
      </w:r>
      <w:r w:rsidR="00F536C2">
        <w:rPr>
          <w:b w:val="0"/>
          <w:bCs w:val="0"/>
        </w:rPr>
        <w:t xml:space="preserve">) </w:t>
      </w:r>
      <w:r w:rsidR="00F536C2" w:rsidRPr="00A215A7">
        <w:rPr>
          <w:b w:val="0"/>
          <w:bCs w:val="0"/>
        </w:rPr>
        <w:t>is</w:t>
      </w:r>
      <w:r w:rsidR="00F536C2" w:rsidRPr="00A215A7">
        <w:rPr>
          <w:b w:val="0"/>
          <w:bCs w:val="0"/>
        </w:rPr>
        <w:t xml:space="preserve"> </w:t>
      </w:r>
      <w:bookmarkStart w:id="0" w:name="_GoBack"/>
      <w:bookmarkEnd w:id="0"/>
      <w:r w:rsidRPr="00A215A7">
        <w:rPr>
          <w:b w:val="0"/>
          <w:bCs w:val="0"/>
        </w:rPr>
        <w:t xml:space="preserve">therefore not </w:t>
      </w:r>
      <w:r w:rsidRPr="00A215A7">
        <w:rPr>
          <w:rFonts w:hint="cs"/>
          <w:b w:val="0"/>
          <w:bCs w:val="0"/>
          <w:rtl/>
        </w:rPr>
        <w:t>גורס</w:t>
      </w:r>
      <w:r w:rsidRPr="00A215A7">
        <w:rPr>
          <w:b w:val="0"/>
          <w:bCs w:val="0"/>
        </w:rPr>
        <w:t xml:space="preserve"> here this </w:t>
      </w:r>
      <w:r w:rsidRPr="00A215A7">
        <w:rPr>
          <w:rFonts w:hint="cs"/>
          <w:b w:val="0"/>
          <w:bCs w:val="0"/>
          <w:rtl/>
        </w:rPr>
        <w:t>ק"ו</w:t>
      </w:r>
      <w:r w:rsidRPr="00A215A7">
        <w:rPr>
          <w:b w:val="0"/>
          <w:bCs w:val="0"/>
        </w:rPr>
        <w:t xml:space="preserve"> of </w:t>
      </w:r>
      <w:r w:rsidRPr="00A215A7">
        <w:rPr>
          <w:rFonts w:hint="cs"/>
          <w:b w:val="0"/>
          <w:bCs w:val="0"/>
          <w:rtl/>
        </w:rPr>
        <w:t>ומה בהמתן וכו'</w:t>
      </w:r>
      <w:r w:rsidRPr="00A215A7">
        <w:rPr>
          <w:b w:val="0"/>
          <w:bCs w:val="0"/>
        </w:rPr>
        <w:t>.</w:t>
      </w:r>
    </w:p>
  </w:footnote>
  <w:footnote w:id="2">
    <w:p w:rsidR="004246A8" w:rsidRPr="00A215A7" w:rsidRDefault="004246A8" w:rsidP="00A215A7">
      <w:pPr>
        <w:pStyle w:val="FootnoteText"/>
        <w:spacing w:line="264" w:lineRule="auto"/>
        <w:rPr>
          <w:b w:val="0"/>
          <w:bCs w:val="0"/>
        </w:rPr>
      </w:pPr>
      <w:r w:rsidRPr="00A215A7">
        <w:rPr>
          <w:rStyle w:val="FootnoteReference"/>
          <w:b w:val="0"/>
          <w:bCs w:val="0"/>
        </w:rPr>
        <w:footnoteRef/>
      </w:r>
      <w:r w:rsidRPr="00A215A7">
        <w:rPr>
          <w:b w:val="0"/>
          <w:bCs w:val="0"/>
        </w:rPr>
        <w:t xml:space="preserve"> The marginal note indicates that </w:t>
      </w:r>
      <w:r w:rsidRPr="00A215A7">
        <w:rPr>
          <w:rFonts w:hint="cs"/>
          <w:b w:val="0"/>
          <w:bCs w:val="0"/>
          <w:rtl/>
        </w:rPr>
        <w:t>תוספות</w:t>
      </w:r>
      <w:r w:rsidRPr="00A215A7">
        <w:rPr>
          <w:b w:val="0"/>
          <w:bCs w:val="0"/>
        </w:rPr>
        <w:t xml:space="preserve"> explains this in other places as well (</w:t>
      </w:r>
      <w:r w:rsidRPr="00A215A7">
        <w:rPr>
          <w:rFonts w:hint="cs"/>
          <w:b w:val="0"/>
          <w:bCs w:val="0"/>
          <w:rtl/>
        </w:rPr>
        <w:t>שבת יב</w:t>
      </w:r>
      <w:proofErr w:type="gramStart"/>
      <w:r w:rsidRPr="00A215A7">
        <w:rPr>
          <w:rFonts w:hint="cs"/>
          <w:b w:val="0"/>
          <w:bCs w:val="0"/>
          <w:rtl/>
        </w:rPr>
        <w:t>,ב</w:t>
      </w:r>
      <w:proofErr w:type="gramEnd"/>
      <w:r w:rsidRPr="00A215A7">
        <w:rPr>
          <w:rFonts w:hint="cs"/>
          <w:b w:val="0"/>
          <w:bCs w:val="0"/>
          <w:rtl/>
        </w:rPr>
        <w:t>; חולין ה,ב; פסחים קו,ב</w:t>
      </w:r>
      <w:r w:rsidRPr="00A215A7">
        <w:rPr>
          <w:b w:val="0"/>
          <w:bCs w:val="0"/>
        </w:rPr>
        <w:t>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6A8" w:rsidRPr="004246A8" w:rsidRDefault="004246A8" w:rsidP="004246A8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כח,ב תוס' ד"ה ומה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37E"/>
    <w:rsid w:val="00213F06"/>
    <w:rsid w:val="003D4453"/>
    <w:rsid w:val="004246A8"/>
    <w:rsid w:val="009E037E"/>
    <w:rsid w:val="00A215A7"/>
    <w:rsid w:val="00E362E2"/>
    <w:rsid w:val="00F536C2"/>
    <w:rsid w:val="00FB40CE"/>
    <w:rsid w:val="00FE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6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A8"/>
  </w:style>
  <w:style w:type="paragraph" w:styleId="Footer">
    <w:name w:val="footer"/>
    <w:basedOn w:val="Normal"/>
    <w:link w:val="FooterChar"/>
    <w:uiPriority w:val="99"/>
    <w:unhideWhenUsed/>
    <w:rsid w:val="004246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A8"/>
  </w:style>
  <w:style w:type="paragraph" w:styleId="BalloonText">
    <w:name w:val="Balloon Text"/>
    <w:basedOn w:val="Normal"/>
    <w:link w:val="BalloonTextChar"/>
    <w:uiPriority w:val="99"/>
    <w:semiHidden/>
    <w:unhideWhenUsed/>
    <w:rsid w:val="004246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A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6A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6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6A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6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6A8"/>
  </w:style>
  <w:style w:type="paragraph" w:styleId="Footer">
    <w:name w:val="footer"/>
    <w:basedOn w:val="Normal"/>
    <w:link w:val="FooterChar"/>
    <w:uiPriority w:val="99"/>
    <w:unhideWhenUsed/>
    <w:rsid w:val="004246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6A8"/>
  </w:style>
  <w:style w:type="paragraph" w:styleId="BalloonText">
    <w:name w:val="Balloon Text"/>
    <w:basedOn w:val="Normal"/>
    <w:link w:val="BalloonTextChar"/>
    <w:uiPriority w:val="99"/>
    <w:semiHidden/>
    <w:unhideWhenUsed/>
    <w:rsid w:val="004246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6A8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46A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46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46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5</cp:revision>
  <dcterms:created xsi:type="dcterms:W3CDTF">2015-11-11T16:55:00Z</dcterms:created>
  <dcterms:modified xsi:type="dcterms:W3CDTF">2015-12-07T00:34:00Z</dcterms:modified>
</cp:coreProperties>
</file>