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A8" w:rsidRDefault="00F90958" w:rsidP="00EE05A8">
      <w:pPr>
        <w:bidi/>
        <w:jc w:val="both"/>
        <w:rPr>
          <w:sz w:val="24"/>
          <w:szCs w:val="24"/>
          <w:lang w:bidi="he-IL"/>
        </w:rPr>
      </w:pPr>
      <w:bookmarkStart w:id="0" w:name="_GoBack"/>
      <w:bookmarkEnd w:id="0"/>
      <w:r w:rsidRPr="00EE05A8">
        <w:rPr>
          <w:rFonts w:hint="cs"/>
          <w:b/>
          <w:bCs/>
          <w:sz w:val="36"/>
          <w:szCs w:val="36"/>
          <w:rtl/>
          <w:lang w:bidi="he-IL"/>
        </w:rPr>
        <w:t>והבא</w:t>
      </w:r>
      <w:r w:rsidR="00EE05A8">
        <w:rPr>
          <w:rStyle w:val="FootnoteReference"/>
          <w:b/>
          <w:bCs/>
          <w:sz w:val="36"/>
          <w:szCs w:val="36"/>
          <w:rtl/>
          <w:lang w:bidi="he-IL"/>
        </w:rPr>
        <w:footnoteReference w:id="1"/>
      </w:r>
      <w:r w:rsidRPr="00F90958">
        <w:rPr>
          <w:rFonts w:hint="cs"/>
          <w:sz w:val="24"/>
          <w:szCs w:val="24"/>
          <w:rtl/>
          <w:lang w:bidi="he-IL"/>
        </w:rPr>
        <w:t xml:space="preserve"> </w:t>
      </w:r>
      <w:r w:rsidRPr="00EE05A8">
        <w:rPr>
          <w:rFonts w:hint="cs"/>
          <w:b/>
          <w:bCs/>
          <w:sz w:val="32"/>
          <w:szCs w:val="32"/>
          <w:rtl/>
          <w:lang w:bidi="he-IL"/>
        </w:rPr>
        <w:t>על הגיורת</w:t>
      </w:r>
      <w:r w:rsidR="00EE05A8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E05A8">
        <w:rPr>
          <w:b/>
          <w:bCs/>
          <w:sz w:val="32"/>
          <w:szCs w:val="32"/>
          <w:rtl/>
          <w:lang w:bidi="he-IL"/>
        </w:rPr>
        <w:t>–</w:t>
      </w:r>
      <w:r w:rsidR="00EE05A8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E05A8">
        <w:rPr>
          <w:b/>
          <w:bCs/>
          <w:sz w:val="32"/>
          <w:szCs w:val="32"/>
          <w:lang w:bidi="he-IL"/>
        </w:rPr>
        <w:t xml:space="preserve"> And who comes upon a convert                          </w:t>
      </w:r>
      <w:r w:rsidRPr="00F90958">
        <w:rPr>
          <w:rFonts w:hint="cs"/>
          <w:sz w:val="24"/>
          <w:szCs w:val="24"/>
          <w:rtl/>
          <w:lang w:bidi="he-IL"/>
        </w:rPr>
        <w:t xml:space="preserve"> </w:t>
      </w:r>
    </w:p>
    <w:p w:rsidR="00EE05A8" w:rsidRPr="005E6420" w:rsidRDefault="005E6420" w:rsidP="005E6420">
      <w:pPr>
        <w:jc w:val="both"/>
        <w:rPr>
          <w:lang w:bidi="he-IL"/>
        </w:rPr>
      </w:pPr>
      <w:r w:rsidRPr="005E6420">
        <w:rPr>
          <w:u w:val="single"/>
          <w:lang w:bidi="he-IL"/>
        </w:rPr>
        <w:t>Overview</w:t>
      </w:r>
    </w:p>
    <w:p w:rsidR="005E6420" w:rsidRPr="005E6420" w:rsidRDefault="005E6420" w:rsidP="005E6420">
      <w:pPr>
        <w:jc w:val="both"/>
        <w:rPr>
          <w:lang w:bidi="he-IL"/>
        </w:rPr>
      </w:pPr>
      <w:r w:rsidRPr="005E6420"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enumerates many </w:t>
      </w:r>
      <w:r>
        <w:rPr>
          <w:rFonts w:hint="cs"/>
          <w:rtl/>
          <w:lang w:bidi="he-IL"/>
        </w:rPr>
        <w:t>נערות</w:t>
      </w:r>
      <w:r>
        <w:rPr>
          <w:lang w:bidi="he-IL"/>
        </w:rPr>
        <w:t xml:space="preserve"> that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. However,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divides them into (three) groups, separated by the word </w:t>
      </w:r>
      <w:r>
        <w:rPr>
          <w:rFonts w:hint="cs"/>
          <w:rtl/>
          <w:lang w:bidi="he-IL"/>
        </w:rPr>
        <w:t>הבא</w:t>
      </w:r>
      <w:r>
        <w:rPr>
          <w:lang w:bidi="he-IL"/>
        </w:rPr>
        <w:t xml:space="preserve">; namely, </w:t>
      </w:r>
      <w:r>
        <w:rPr>
          <w:rFonts w:hint="cs"/>
          <w:rtl/>
          <w:lang w:bidi="he-IL"/>
        </w:rPr>
        <w:t>הבא על הממזרת וכו'</w:t>
      </w:r>
      <w:r>
        <w:rPr>
          <w:lang w:bidi="he-IL"/>
        </w:rPr>
        <w:t xml:space="preserve">, then </w:t>
      </w:r>
      <w:r>
        <w:rPr>
          <w:rFonts w:hint="cs"/>
          <w:rtl/>
          <w:lang w:bidi="he-IL"/>
        </w:rPr>
        <w:t>הבא על הגיורת וכו'</w:t>
      </w:r>
      <w:r>
        <w:rPr>
          <w:lang w:bidi="he-IL"/>
        </w:rPr>
        <w:t xml:space="preserve">, and finally </w:t>
      </w:r>
      <w:r>
        <w:rPr>
          <w:rFonts w:hint="cs"/>
          <w:rtl/>
          <w:lang w:bidi="he-IL"/>
        </w:rPr>
        <w:t>הבא על אחותו וכו'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explain the reason for this separation (into three groups).</w:t>
      </w:r>
    </w:p>
    <w:p w:rsidR="00EE05A8" w:rsidRPr="005E6420" w:rsidRDefault="00E92CD0" w:rsidP="00E92CD0">
      <w:pPr>
        <w:bidi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EE05A8" w:rsidRDefault="00F90958" w:rsidP="00EE05A8">
      <w:pPr>
        <w:bidi/>
        <w:rPr>
          <w:rFonts w:cs="Aharoni" w:hint="cs"/>
          <w:rtl/>
          <w:lang w:bidi="he-IL"/>
        </w:rPr>
      </w:pPr>
      <w:r w:rsidRPr="00EE05A8">
        <w:rPr>
          <w:rFonts w:cs="Aharoni" w:hint="cs"/>
          <w:rtl/>
          <w:lang w:bidi="he-IL"/>
        </w:rPr>
        <w:t xml:space="preserve">חילקן לשנות חייבי לאוין לחודייהו וגיורת ומשוחררת דכשירות הן לחודייהו </w:t>
      </w:r>
      <w:r w:rsidR="00C449F1">
        <w:rPr>
          <w:rFonts w:cs="Aharoni"/>
          <w:rtl/>
          <w:lang w:bidi="he-IL"/>
        </w:rPr>
        <w:t>–</w:t>
      </w:r>
    </w:p>
    <w:p w:rsidR="00C449F1" w:rsidRPr="00933FA7" w:rsidRDefault="00C449F1" w:rsidP="00933FA7">
      <w:pPr>
        <w:jc w:val="both"/>
        <w:rPr>
          <w:sz w:val="24"/>
          <w:szCs w:val="24"/>
          <w:lang w:bidi="he-IL"/>
        </w:rPr>
      </w:pPr>
      <w:r>
        <w:rPr>
          <w:rFonts w:cs="Aharoni"/>
          <w:lang w:bidi="he-IL"/>
        </w:rPr>
        <w:t>The</w:t>
      </w:r>
      <w:r>
        <w:rPr>
          <w:rFonts w:cs="Aharoni" w:hint="cs"/>
          <w:lang w:bidi="he-IL"/>
        </w:rPr>
        <w:t xml:space="preserve">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separated </w:t>
      </w:r>
      <w:r>
        <w:rPr>
          <w:lang w:bidi="he-IL"/>
        </w:rPr>
        <w:t xml:space="preserve">the cases into (three) categories; </w:t>
      </w:r>
      <w:r w:rsidRPr="00C449F1">
        <w:rPr>
          <w:b/>
          <w:bCs/>
          <w:lang w:bidi="he-IL"/>
        </w:rPr>
        <w:t>teaching</w:t>
      </w:r>
      <w:r>
        <w:rPr>
          <w:lang w:bidi="he-IL"/>
        </w:rPr>
        <w:t xml:space="preserve"> us the cases of those who </w:t>
      </w:r>
      <w:r>
        <w:rPr>
          <w:b/>
          <w:bCs/>
          <w:lang w:bidi="he-IL"/>
        </w:rPr>
        <w:t xml:space="preserve">transgress a prohibition </w:t>
      </w:r>
      <w:r>
        <w:rPr>
          <w:lang w:bidi="he-IL"/>
        </w:rPr>
        <w:t xml:space="preserve">(such as a </w:t>
      </w:r>
      <w:r>
        <w:rPr>
          <w:rFonts w:hint="cs"/>
          <w:rtl/>
          <w:lang w:bidi="he-IL"/>
        </w:rPr>
        <w:t>ממזרת וכו'</w:t>
      </w:r>
      <w:r w:rsidR="002D4C31">
        <w:rPr>
          <w:lang w:bidi="he-IL"/>
        </w:rPr>
        <w:t xml:space="preserve"> [the first group]</w:t>
      </w:r>
      <w:r>
        <w:rPr>
          <w:lang w:bidi="he-IL"/>
        </w:rPr>
        <w:t>)</w:t>
      </w:r>
      <w:r>
        <w:rPr>
          <w:b/>
          <w:bCs/>
          <w:lang w:bidi="he-IL"/>
        </w:rPr>
        <w:t xml:space="preserve"> separately, and </w:t>
      </w:r>
      <w:r w:rsidRPr="00C449F1">
        <w:rPr>
          <w:lang w:bidi="he-IL"/>
        </w:rPr>
        <w:t>the cases of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 convert and a freed </w:t>
      </w:r>
      <w:r>
        <w:rPr>
          <w:lang w:bidi="he-IL"/>
        </w:rPr>
        <w:t xml:space="preserve">slave </w:t>
      </w:r>
      <w:r>
        <w:rPr>
          <w:b/>
          <w:bCs/>
          <w:lang w:bidi="he-IL"/>
        </w:rPr>
        <w:t xml:space="preserve">who are fit </w:t>
      </w:r>
      <w:r>
        <w:rPr>
          <w:lang w:bidi="he-IL"/>
        </w:rPr>
        <w:t xml:space="preserve">to intermarry in </w:t>
      </w:r>
      <w:r>
        <w:rPr>
          <w:rFonts w:hint="cs"/>
          <w:rtl/>
          <w:lang w:bidi="he-IL"/>
        </w:rPr>
        <w:t>כלל ישראל</w:t>
      </w:r>
      <w:r w:rsidR="002D4C31">
        <w:rPr>
          <w:lang w:bidi="he-IL"/>
        </w:rPr>
        <w:t xml:space="preserve"> [the second group]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separately. </w:t>
      </w:r>
      <w:r w:rsidRPr="00933FA7">
        <w:rPr>
          <w:sz w:val="24"/>
          <w:szCs w:val="24"/>
          <w:lang w:bidi="he-IL"/>
        </w:rPr>
        <w:t xml:space="preserve">The </w:t>
      </w:r>
      <w:r w:rsidRPr="00933FA7">
        <w:rPr>
          <w:rFonts w:hint="cs"/>
          <w:sz w:val="24"/>
          <w:szCs w:val="24"/>
          <w:rtl/>
          <w:lang w:bidi="he-IL"/>
        </w:rPr>
        <w:t>משנה</w:t>
      </w:r>
      <w:r w:rsidRPr="00933FA7">
        <w:rPr>
          <w:sz w:val="24"/>
          <w:szCs w:val="24"/>
          <w:lang w:bidi="he-IL"/>
        </w:rPr>
        <w:t xml:space="preserve"> chooses </w:t>
      </w:r>
      <w:r w:rsidR="00933FA7" w:rsidRPr="00933FA7">
        <w:rPr>
          <w:sz w:val="24"/>
          <w:szCs w:val="24"/>
          <w:lang w:bidi="he-IL"/>
        </w:rPr>
        <w:t>to separate</w:t>
      </w:r>
      <w:r w:rsidRPr="00933FA7">
        <w:rPr>
          <w:sz w:val="24"/>
          <w:szCs w:val="24"/>
          <w:lang w:bidi="he-IL"/>
        </w:rPr>
        <w:t xml:space="preserve"> those who </w:t>
      </w:r>
      <w:r w:rsidR="009240B2" w:rsidRPr="00933FA7">
        <w:rPr>
          <w:sz w:val="24"/>
          <w:szCs w:val="24"/>
          <w:lang w:bidi="he-IL"/>
        </w:rPr>
        <w:t xml:space="preserve">are </w:t>
      </w:r>
      <w:r w:rsidR="009240B2" w:rsidRPr="00933FA7">
        <w:rPr>
          <w:rFonts w:hint="cs"/>
          <w:sz w:val="24"/>
          <w:szCs w:val="24"/>
          <w:rtl/>
          <w:lang w:bidi="he-IL"/>
        </w:rPr>
        <w:t>אסורים</w:t>
      </w:r>
      <w:r w:rsidR="002D4C31" w:rsidRPr="00933FA7">
        <w:rPr>
          <w:rStyle w:val="FootnoteReference"/>
          <w:sz w:val="24"/>
          <w:szCs w:val="24"/>
          <w:rtl/>
          <w:lang w:bidi="he-IL"/>
        </w:rPr>
        <w:footnoteReference w:id="2"/>
      </w:r>
      <w:r w:rsidR="009240B2" w:rsidRPr="00933FA7">
        <w:rPr>
          <w:sz w:val="24"/>
          <w:szCs w:val="24"/>
          <w:lang w:bidi="he-IL"/>
        </w:rPr>
        <w:t>, from</w:t>
      </w:r>
      <w:r w:rsidRPr="00933FA7">
        <w:rPr>
          <w:sz w:val="24"/>
          <w:szCs w:val="24"/>
          <w:lang w:bidi="he-IL"/>
        </w:rPr>
        <w:t xml:space="preserve"> those that are</w:t>
      </w:r>
      <w:r w:rsidRPr="00933FA7">
        <w:rPr>
          <w:rFonts w:hint="cs"/>
          <w:sz w:val="24"/>
          <w:szCs w:val="24"/>
          <w:rtl/>
          <w:lang w:bidi="he-IL"/>
        </w:rPr>
        <w:t xml:space="preserve">מותרים </w:t>
      </w:r>
      <w:r w:rsidR="009240B2" w:rsidRPr="00933FA7">
        <w:rPr>
          <w:sz w:val="24"/>
          <w:szCs w:val="24"/>
          <w:lang w:bidi="he-IL"/>
        </w:rPr>
        <w:t>,</w:t>
      </w:r>
      <w:r w:rsidR="00DB6A62" w:rsidRPr="00933FA7">
        <w:rPr>
          <w:sz w:val="24"/>
          <w:szCs w:val="24"/>
          <w:lang w:bidi="he-IL"/>
        </w:rPr>
        <w:t xml:space="preserve"> </w:t>
      </w:r>
      <w:r w:rsidRPr="00933FA7">
        <w:rPr>
          <w:sz w:val="24"/>
          <w:szCs w:val="24"/>
          <w:lang w:bidi="he-IL"/>
        </w:rPr>
        <w:t xml:space="preserve">by introducing each group with a new </w:t>
      </w:r>
      <w:r w:rsidRPr="00933FA7">
        <w:rPr>
          <w:rFonts w:hint="cs"/>
          <w:sz w:val="24"/>
          <w:szCs w:val="24"/>
          <w:rtl/>
          <w:lang w:bidi="he-IL"/>
        </w:rPr>
        <w:t>'הבא'</w:t>
      </w:r>
      <w:r w:rsidRPr="00933FA7">
        <w:rPr>
          <w:sz w:val="24"/>
          <w:szCs w:val="24"/>
          <w:lang w:bidi="he-IL"/>
        </w:rPr>
        <w:t xml:space="preserve">. </w:t>
      </w:r>
      <w:r w:rsidR="00B07568" w:rsidRPr="00933FA7">
        <w:rPr>
          <w:sz w:val="24"/>
          <w:szCs w:val="24"/>
          <w:lang w:bidi="he-IL"/>
        </w:rPr>
        <w:t xml:space="preserve">Similarly the </w:t>
      </w:r>
      <w:r w:rsidR="00B07568" w:rsidRPr="00933FA7">
        <w:rPr>
          <w:rFonts w:hint="cs"/>
          <w:sz w:val="24"/>
          <w:szCs w:val="24"/>
          <w:rtl/>
          <w:lang w:bidi="he-IL"/>
        </w:rPr>
        <w:t>משנה</w:t>
      </w:r>
      <w:r w:rsidR="00B07568" w:rsidRPr="00933FA7">
        <w:rPr>
          <w:sz w:val="24"/>
          <w:szCs w:val="24"/>
          <w:lang w:bidi="he-IL"/>
        </w:rPr>
        <w:t xml:space="preserve"> also mentions -</w:t>
      </w:r>
    </w:p>
    <w:p w:rsidR="00C449F1" w:rsidRDefault="00F90958" w:rsidP="00C449F1">
      <w:pPr>
        <w:bidi/>
        <w:jc w:val="both"/>
        <w:rPr>
          <w:rFonts w:cs="Aharoni" w:hint="cs"/>
          <w:rtl/>
          <w:lang w:bidi="he-IL"/>
        </w:rPr>
      </w:pPr>
      <w:r w:rsidRPr="00EE05A8">
        <w:rPr>
          <w:rFonts w:cs="Aharoni" w:hint="cs"/>
          <w:rtl/>
          <w:lang w:bidi="he-IL"/>
        </w:rPr>
        <w:t>וחייבי כריתות לחודייהו משום דבעי למיתני סיפא א</w:t>
      </w:r>
      <w:r w:rsidR="00C449F1">
        <w:rPr>
          <w:rFonts w:cs="Aharoni" w:hint="cs"/>
          <w:rtl/>
          <w:lang w:bidi="he-IL"/>
        </w:rPr>
        <w:t xml:space="preserve">ף </w:t>
      </w:r>
      <w:r w:rsidRPr="00EE05A8">
        <w:rPr>
          <w:rFonts w:cs="Aharoni" w:hint="cs"/>
          <w:rtl/>
          <w:lang w:bidi="he-IL"/>
        </w:rPr>
        <w:t>ע</w:t>
      </w:r>
      <w:r w:rsidR="00C449F1">
        <w:rPr>
          <w:rFonts w:cs="Aharoni" w:hint="cs"/>
          <w:rtl/>
          <w:lang w:bidi="he-IL"/>
        </w:rPr>
        <w:t xml:space="preserve">ל </w:t>
      </w:r>
      <w:r w:rsidRPr="00EE05A8">
        <w:rPr>
          <w:rFonts w:cs="Aharoni" w:hint="cs"/>
          <w:rtl/>
          <w:lang w:bidi="he-IL"/>
        </w:rPr>
        <w:t>פ</w:t>
      </w:r>
      <w:r w:rsidR="00C449F1">
        <w:rPr>
          <w:rFonts w:cs="Aharoni" w:hint="cs"/>
          <w:rtl/>
          <w:lang w:bidi="he-IL"/>
        </w:rPr>
        <w:t>י</w:t>
      </w:r>
      <w:r w:rsidRPr="00EE05A8">
        <w:rPr>
          <w:rFonts w:cs="Aharoni" w:hint="cs"/>
          <w:rtl/>
          <w:lang w:bidi="he-IL"/>
        </w:rPr>
        <w:t xml:space="preserve"> שהם בהכרת כו</w:t>
      </w:r>
      <w:r w:rsidR="00C449F1">
        <w:rPr>
          <w:rFonts w:cs="Aharoni" w:hint="cs"/>
          <w:rtl/>
          <w:lang w:bidi="he-IL"/>
        </w:rPr>
        <w:t xml:space="preserve">לי </w:t>
      </w:r>
      <w:r w:rsidR="00C449F1">
        <w:rPr>
          <w:rFonts w:cs="Aharoni"/>
          <w:rtl/>
          <w:lang w:bidi="he-IL"/>
        </w:rPr>
        <w:t>–</w:t>
      </w:r>
    </w:p>
    <w:p w:rsidR="00EE05A8" w:rsidRPr="00933FA7" w:rsidRDefault="00B07568" w:rsidP="00B07568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those who are liable for </w:t>
      </w:r>
      <w:r>
        <w:rPr>
          <w:rFonts w:hint="cs"/>
          <w:b/>
          <w:bCs/>
          <w:rtl/>
          <w:lang w:bidi="he-IL"/>
        </w:rPr>
        <w:t>כרת</w:t>
      </w:r>
      <w:r>
        <w:rPr>
          <w:b/>
          <w:bCs/>
          <w:lang w:bidi="he-IL"/>
        </w:rPr>
        <w:t xml:space="preserve"> </w:t>
      </w:r>
      <w:r w:rsidR="00E92CD0">
        <w:rPr>
          <w:lang w:bidi="he-IL"/>
        </w:rPr>
        <w:t xml:space="preserve">[the third group] </w:t>
      </w:r>
      <w:r>
        <w:rPr>
          <w:b/>
          <w:bCs/>
          <w:lang w:bidi="he-IL"/>
        </w:rPr>
        <w:t xml:space="preserve">separately </w:t>
      </w:r>
      <w:r w:rsidRPr="00B07568">
        <w:rPr>
          <w:lang w:bidi="he-IL"/>
        </w:rPr>
        <w:t>as well</w:t>
      </w:r>
      <w:r>
        <w:rPr>
          <w:rStyle w:val="FootnoteReference"/>
          <w:lang w:bidi="he-IL"/>
        </w:rPr>
        <w:footnoteReference w:id="3"/>
      </w:r>
      <w:r>
        <w:rPr>
          <w:lang w:bidi="he-IL"/>
        </w:rPr>
        <w:t xml:space="preserve">. The reason is </w:t>
      </w:r>
      <w:r>
        <w:rPr>
          <w:b/>
          <w:bCs/>
          <w:lang w:bidi="he-IL"/>
        </w:rPr>
        <w:t xml:space="preserve">because the </w:t>
      </w:r>
      <w:r>
        <w:rPr>
          <w:rFonts w:hint="cs"/>
          <w:b/>
          <w:bCs/>
          <w:rtl/>
          <w:lang w:bidi="he-IL"/>
        </w:rPr>
        <w:t>משנה</w:t>
      </w:r>
      <w:r>
        <w:rPr>
          <w:b/>
          <w:bCs/>
          <w:lang w:bidi="he-IL"/>
        </w:rPr>
        <w:t xml:space="preserve"> wants </w:t>
      </w:r>
      <w:r>
        <w:rPr>
          <w:lang w:bidi="he-IL"/>
        </w:rPr>
        <w:t xml:space="preserve">to conclude </w:t>
      </w:r>
      <w:r>
        <w:rPr>
          <w:b/>
          <w:bCs/>
          <w:lang w:bidi="he-IL"/>
        </w:rPr>
        <w:t xml:space="preserve">in the end </w:t>
      </w:r>
      <w:r w:rsidR="00DB6A62">
        <w:rPr>
          <w:lang w:bidi="he-IL"/>
        </w:rPr>
        <w:t xml:space="preserve">(of the </w:t>
      </w:r>
      <w:r w:rsidR="00DB6A62">
        <w:rPr>
          <w:rFonts w:hint="cs"/>
          <w:rtl/>
          <w:lang w:bidi="he-IL"/>
        </w:rPr>
        <w:t>משנה</w:t>
      </w:r>
      <w:r w:rsidR="00DB6A62">
        <w:rPr>
          <w:lang w:bidi="he-IL"/>
        </w:rPr>
        <w:t xml:space="preserve">)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for even though they are </w:t>
      </w:r>
      <w:r>
        <w:rPr>
          <w:lang w:bidi="he-IL"/>
        </w:rPr>
        <w:t xml:space="preserve">liable </w:t>
      </w:r>
      <w:r>
        <w:rPr>
          <w:b/>
          <w:bCs/>
          <w:lang w:bidi="he-IL"/>
        </w:rPr>
        <w:t xml:space="preserve">for </w:t>
      </w:r>
      <w:r>
        <w:rPr>
          <w:rFonts w:hint="cs"/>
          <w:b/>
          <w:bCs/>
          <w:rtl/>
          <w:lang w:bidi="he-IL"/>
        </w:rPr>
        <w:t>כרת</w:t>
      </w:r>
      <w:r>
        <w:rPr>
          <w:b/>
          <w:bCs/>
          <w:lang w:bidi="he-IL"/>
        </w:rPr>
        <w:t xml:space="preserve">, etc., </w:t>
      </w:r>
      <w:r w:rsidRPr="00933FA7">
        <w:rPr>
          <w:sz w:val="24"/>
          <w:szCs w:val="24"/>
          <w:lang w:bidi="he-IL"/>
        </w:rPr>
        <w:t xml:space="preserve">nevertheless there is no </w:t>
      </w:r>
      <w:r w:rsidRPr="00933FA7">
        <w:rPr>
          <w:rFonts w:hint="cs"/>
          <w:sz w:val="24"/>
          <w:szCs w:val="24"/>
          <w:rtl/>
          <w:lang w:bidi="he-IL"/>
        </w:rPr>
        <w:t>מיתת בי"ד</w:t>
      </w:r>
      <w:r w:rsidRPr="00933FA7">
        <w:rPr>
          <w:sz w:val="24"/>
          <w:szCs w:val="24"/>
          <w:lang w:bidi="he-IL"/>
        </w:rPr>
        <w:t>.</w:t>
      </w:r>
      <w:r w:rsidR="00E92CD0" w:rsidRPr="00933FA7">
        <w:rPr>
          <w:rStyle w:val="FootnoteReference"/>
          <w:sz w:val="24"/>
          <w:szCs w:val="24"/>
          <w:lang w:bidi="he-IL"/>
        </w:rPr>
        <w:footnoteReference w:id="4"/>
      </w:r>
    </w:p>
    <w:p w:rsidR="00F90958" w:rsidRDefault="00F90958" w:rsidP="00B07568">
      <w:pPr>
        <w:bidi/>
        <w:jc w:val="both"/>
        <w:rPr>
          <w:rFonts w:cs="Aharoni" w:hint="cs"/>
          <w:rtl/>
          <w:lang w:bidi="he-IL"/>
        </w:rPr>
      </w:pPr>
      <w:r w:rsidRPr="00EE05A8">
        <w:rPr>
          <w:rFonts w:cs="Aharoni" w:hint="cs"/>
          <w:rtl/>
          <w:lang w:bidi="he-IL"/>
        </w:rPr>
        <w:t xml:space="preserve">אבל באלו הן הלוקין </w:t>
      </w:r>
      <w:r w:rsidRPr="00B07568">
        <w:rPr>
          <w:rFonts w:cs="Aharoni" w:hint="cs"/>
          <w:b/>
          <w:bCs/>
          <w:sz w:val="20"/>
          <w:szCs w:val="20"/>
          <w:rtl/>
          <w:lang w:bidi="he-IL"/>
        </w:rPr>
        <w:t>(מכות יג.)</w:t>
      </w:r>
      <w:r w:rsidRPr="00B07568">
        <w:rPr>
          <w:rFonts w:cs="Aharoni" w:hint="cs"/>
          <w:rtl/>
          <w:lang w:bidi="he-IL"/>
        </w:rPr>
        <w:t xml:space="preserve"> </w:t>
      </w:r>
      <w:r w:rsidRPr="00EE05A8">
        <w:rPr>
          <w:rFonts w:cs="Aharoni" w:hint="cs"/>
          <w:rtl/>
          <w:lang w:bidi="he-IL"/>
        </w:rPr>
        <w:t>לא תני אלא הבא אחד על כולם</w:t>
      </w:r>
      <w:r w:rsidR="00B07568">
        <w:rPr>
          <w:rFonts w:cs="Aharoni" w:hint="cs"/>
          <w:rtl/>
          <w:lang w:bidi="he-IL"/>
        </w:rPr>
        <w:t xml:space="preserve"> </w:t>
      </w:r>
      <w:r w:rsidR="00B07568">
        <w:rPr>
          <w:rFonts w:cs="Aharoni"/>
          <w:rtl/>
          <w:lang w:bidi="he-IL"/>
        </w:rPr>
        <w:t>–</w:t>
      </w:r>
    </w:p>
    <w:p w:rsidR="00B07568" w:rsidRPr="00933FA7" w:rsidRDefault="00B07568" w:rsidP="007C0E8E">
      <w:pPr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However in </w:t>
      </w:r>
      <w:r w:rsidR="009240B2">
        <w:rPr>
          <w:rStyle w:val="FootnoteReference"/>
          <w:rFonts w:cs="Aharoni"/>
          <w:b/>
          <w:bCs/>
          <w:lang w:bidi="he-IL"/>
        </w:rPr>
        <w:footnoteReference w:id="5"/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אלו הן הלוקין</w:t>
      </w:r>
      <w:r>
        <w:rPr>
          <w:b/>
          <w:bCs/>
          <w:lang w:bidi="he-IL"/>
        </w:rPr>
        <w:t xml:space="preserve"> the </w:t>
      </w:r>
      <w:r>
        <w:rPr>
          <w:rFonts w:hint="cs"/>
          <w:b/>
          <w:bCs/>
          <w:rtl/>
          <w:lang w:bidi="he-IL"/>
        </w:rPr>
        <w:t>תנא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mentions </w:t>
      </w:r>
      <w:r>
        <w:rPr>
          <w:b/>
          <w:bCs/>
          <w:lang w:bidi="he-IL"/>
        </w:rPr>
        <w:t xml:space="preserve">only one </w:t>
      </w:r>
      <w:r>
        <w:rPr>
          <w:rFonts w:hint="cs"/>
          <w:b/>
          <w:bCs/>
          <w:rtl/>
          <w:lang w:bidi="he-IL"/>
        </w:rPr>
        <w:t>'הבא'</w:t>
      </w:r>
      <w:r>
        <w:rPr>
          <w:b/>
          <w:bCs/>
          <w:lang w:bidi="he-IL"/>
        </w:rPr>
        <w:t xml:space="preserve"> for all </w:t>
      </w:r>
      <w:r w:rsidRPr="00933FA7">
        <w:rPr>
          <w:sz w:val="24"/>
          <w:szCs w:val="24"/>
          <w:lang w:bidi="he-IL"/>
        </w:rPr>
        <w:t xml:space="preserve">the </w:t>
      </w:r>
      <w:r w:rsidRPr="00933FA7">
        <w:rPr>
          <w:rFonts w:hint="cs"/>
          <w:sz w:val="24"/>
          <w:szCs w:val="24"/>
          <w:rtl/>
          <w:lang w:bidi="he-IL"/>
        </w:rPr>
        <w:t>חייבי מלקות</w:t>
      </w:r>
      <w:r w:rsidR="007C0E8E" w:rsidRPr="00933FA7">
        <w:rPr>
          <w:sz w:val="24"/>
          <w:szCs w:val="24"/>
          <w:lang w:bidi="he-IL"/>
        </w:rPr>
        <w:t xml:space="preserve"> (for </w:t>
      </w:r>
      <w:r w:rsidR="007C0E8E" w:rsidRPr="00933FA7">
        <w:rPr>
          <w:rFonts w:hint="cs"/>
          <w:sz w:val="24"/>
          <w:szCs w:val="24"/>
          <w:rtl/>
          <w:lang w:bidi="he-IL"/>
        </w:rPr>
        <w:t>ביאות אסורות</w:t>
      </w:r>
      <w:r w:rsidR="007C0E8E" w:rsidRPr="00933FA7">
        <w:rPr>
          <w:sz w:val="24"/>
          <w:szCs w:val="24"/>
          <w:lang w:bidi="he-IL"/>
        </w:rPr>
        <w:t>)</w:t>
      </w:r>
      <w:r w:rsidRPr="00933FA7">
        <w:rPr>
          <w:sz w:val="24"/>
          <w:szCs w:val="24"/>
          <w:lang w:bidi="he-IL"/>
        </w:rPr>
        <w:t xml:space="preserve">, whether they receive </w:t>
      </w:r>
      <w:r w:rsidRPr="00933FA7">
        <w:rPr>
          <w:rFonts w:hint="cs"/>
          <w:sz w:val="24"/>
          <w:szCs w:val="24"/>
          <w:rtl/>
          <w:lang w:bidi="he-IL"/>
        </w:rPr>
        <w:t>כרת</w:t>
      </w:r>
      <w:r w:rsidRPr="00933FA7">
        <w:rPr>
          <w:sz w:val="24"/>
          <w:szCs w:val="24"/>
          <w:lang w:bidi="he-IL"/>
        </w:rPr>
        <w:t xml:space="preserve"> or</w:t>
      </w:r>
      <w:r w:rsidR="009240B2" w:rsidRPr="00933FA7">
        <w:rPr>
          <w:sz w:val="24"/>
          <w:szCs w:val="24"/>
          <w:lang w:bidi="he-IL"/>
        </w:rPr>
        <w:t xml:space="preserve"> they are</w:t>
      </w:r>
      <w:r w:rsidRPr="00933FA7">
        <w:rPr>
          <w:sz w:val="24"/>
          <w:szCs w:val="24"/>
          <w:lang w:bidi="he-IL"/>
        </w:rPr>
        <w:t xml:space="preserve"> only </w:t>
      </w:r>
      <w:r w:rsidRPr="00933FA7">
        <w:rPr>
          <w:rFonts w:hint="cs"/>
          <w:sz w:val="24"/>
          <w:szCs w:val="24"/>
          <w:rtl/>
          <w:lang w:bidi="he-IL"/>
        </w:rPr>
        <w:t>חייבי לאוין</w:t>
      </w:r>
      <w:r w:rsidRPr="00933FA7">
        <w:rPr>
          <w:sz w:val="24"/>
          <w:szCs w:val="24"/>
          <w:lang w:bidi="he-IL"/>
        </w:rPr>
        <w:t>.</w:t>
      </w:r>
      <w:r w:rsidR="009240B2" w:rsidRPr="00933FA7">
        <w:rPr>
          <w:sz w:val="24"/>
          <w:szCs w:val="24"/>
          <w:lang w:bidi="he-IL"/>
        </w:rPr>
        <w:t xml:space="preserve"> There is no need to make any distinction there between </w:t>
      </w:r>
      <w:r w:rsidR="009240B2" w:rsidRPr="00933FA7">
        <w:rPr>
          <w:rFonts w:hint="cs"/>
          <w:sz w:val="24"/>
          <w:szCs w:val="24"/>
          <w:rtl/>
          <w:lang w:bidi="he-IL"/>
        </w:rPr>
        <w:t>חייב לאוין</w:t>
      </w:r>
      <w:r w:rsidR="009240B2" w:rsidRPr="00933FA7">
        <w:rPr>
          <w:sz w:val="24"/>
          <w:szCs w:val="24"/>
          <w:lang w:bidi="he-IL"/>
        </w:rPr>
        <w:t xml:space="preserve"> and </w:t>
      </w:r>
      <w:r w:rsidR="009240B2" w:rsidRPr="00933FA7">
        <w:rPr>
          <w:rFonts w:hint="cs"/>
          <w:sz w:val="24"/>
          <w:szCs w:val="24"/>
          <w:rtl/>
          <w:lang w:bidi="he-IL"/>
        </w:rPr>
        <w:t>חייבי כריתות</w:t>
      </w:r>
      <w:r w:rsidR="009240B2" w:rsidRPr="00933FA7">
        <w:rPr>
          <w:sz w:val="24"/>
          <w:szCs w:val="24"/>
          <w:lang w:bidi="he-IL"/>
        </w:rPr>
        <w:t xml:space="preserve"> concerning </w:t>
      </w:r>
      <w:r w:rsidR="009240B2" w:rsidRPr="00933FA7">
        <w:rPr>
          <w:rFonts w:hint="cs"/>
          <w:sz w:val="24"/>
          <w:szCs w:val="24"/>
          <w:rtl/>
          <w:lang w:bidi="he-IL"/>
        </w:rPr>
        <w:t>מלקות</w:t>
      </w:r>
      <w:r w:rsidR="009240B2" w:rsidRPr="00933FA7">
        <w:rPr>
          <w:sz w:val="24"/>
          <w:szCs w:val="24"/>
          <w:lang w:bidi="he-IL"/>
        </w:rPr>
        <w:t>.</w:t>
      </w:r>
    </w:p>
    <w:p w:rsidR="007C0E8E" w:rsidRPr="00933FA7" w:rsidRDefault="007C0E8E" w:rsidP="007C0E8E">
      <w:pPr>
        <w:jc w:val="both"/>
        <w:rPr>
          <w:sz w:val="24"/>
          <w:szCs w:val="24"/>
          <w:lang w:bidi="he-IL"/>
        </w:rPr>
      </w:pPr>
    </w:p>
    <w:p w:rsidR="007C0E8E" w:rsidRDefault="007C0E8E" w:rsidP="007C0E8E">
      <w:pPr>
        <w:jc w:val="both"/>
        <w:rPr>
          <w:lang w:bidi="he-IL"/>
        </w:rPr>
      </w:pPr>
      <w:r>
        <w:rPr>
          <w:u w:val="single"/>
          <w:lang w:bidi="he-IL"/>
        </w:rPr>
        <w:t>Summary</w:t>
      </w:r>
    </w:p>
    <w:p w:rsidR="007C0E8E" w:rsidRDefault="007C0E8E" w:rsidP="007C0E8E">
      <w:pPr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divided into three categories;</w:t>
      </w:r>
      <w:r>
        <w:rPr>
          <w:rFonts w:hint="cs"/>
          <w:rtl/>
          <w:lang w:bidi="he-IL"/>
        </w:rPr>
        <w:t xml:space="preserve"> חייבי לאוין, כשירות </w:t>
      </w:r>
      <w:r>
        <w:rPr>
          <w:lang w:bidi="he-IL"/>
        </w:rPr>
        <w:t xml:space="preserve">and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; each one beginning with a separate </w:t>
      </w:r>
      <w:r>
        <w:rPr>
          <w:rFonts w:hint="cs"/>
          <w:rtl/>
          <w:lang w:bidi="he-IL"/>
        </w:rPr>
        <w:t>'הבא'</w:t>
      </w:r>
      <w:r>
        <w:rPr>
          <w:lang w:bidi="he-IL"/>
        </w:rPr>
        <w:t>.</w:t>
      </w:r>
    </w:p>
    <w:p w:rsidR="007C0E8E" w:rsidRPr="00933FA7" w:rsidRDefault="007C0E8E" w:rsidP="007C0E8E">
      <w:pPr>
        <w:jc w:val="both"/>
        <w:rPr>
          <w:sz w:val="24"/>
          <w:szCs w:val="24"/>
          <w:lang w:bidi="he-IL"/>
        </w:rPr>
      </w:pPr>
    </w:p>
    <w:p w:rsidR="007C0E8E" w:rsidRDefault="007C0E8E" w:rsidP="007C0E8E">
      <w:pPr>
        <w:jc w:val="both"/>
        <w:rPr>
          <w:lang w:bidi="he-IL"/>
        </w:rPr>
      </w:pPr>
      <w:r>
        <w:rPr>
          <w:u w:val="single"/>
          <w:lang w:bidi="he-IL"/>
        </w:rPr>
        <w:t>Thinking it over</w:t>
      </w:r>
    </w:p>
    <w:p w:rsidR="00933FA7" w:rsidRDefault="007C0E8E" w:rsidP="00A919DD">
      <w:pPr>
        <w:jc w:val="both"/>
        <w:rPr>
          <w:lang w:bidi="he-IL"/>
        </w:rPr>
      </w:pPr>
      <w:r>
        <w:rPr>
          <w:lang w:bidi="he-IL"/>
        </w:rPr>
        <w:t xml:space="preserve">Why was not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mentioned immediately after (or before)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>;</w:t>
      </w:r>
      <w:r w:rsidR="00FD72A3">
        <w:rPr>
          <w:rStyle w:val="FootnoteReference"/>
          <w:lang w:bidi="he-IL"/>
        </w:rPr>
        <w:footnoteReference w:id="6"/>
      </w:r>
      <w:r>
        <w:rPr>
          <w:lang w:bidi="he-IL"/>
        </w:rPr>
        <w:t xml:space="preserve"> why were they separated by the </w:t>
      </w:r>
      <w:r>
        <w:rPr>
          <w:rFonts w:hint="cs"/>
          <w:rtl/>
          <w:lang w:bidi="he-IL"/>
        </w:rPr>
        <w:t>כשירות</w:t>
      </w:r>
      <w:r>
        <w:rPr>
          <w:lang w:bidi="he-IL"/>
        </w:rPr>
        <w:t>?!</w:t>
      </w:r>
    </w:p>
    <w:p w:rsidR="00D80DE2" w:rsidRDefault="007C0E8E" w:rsidP="00A919DD">
      <w:pPr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  </w:t>
      </w:r>
      <w:r w:rsidR="00F90958" w:rsidRPr="00F90958">
        <w:rPr>
          <w:rFonts w:hint="cs"/>
          <w:sz w:val="24"/>
          <w:szCs w:val="24"/>
          <w:rtl/>
          <w:lang w:bidi="he-IL"/>
        </w:rPr>
        <w:br/>
      </w:r>
    </w:p>
    <w:sectPr w:rsidR="00D80DE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817" w:rsidRDefault="00C37817" w:rsidP="00EE05A8">
      <w:r>
        <w:separator/>
      </w:r>
    </w:p>
  </w:endnote>
  <w:endnote w:type="continuationSeparator" w:id="0">
    <w:p w:rsidR="00C37817" w:rsidRDefault="00C37817" w:rsidP="00EE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A7" w:rsidRDefault="00933FA7">
    <w:pPr>
      <w:pStyle w:val="Footer"/>
      <w:rPr>
        <w:rFonts w:hint="cs"/>
        <w:rtl/>
        <w:lang w:bidi="he-IL"/>
      </w:rPr>
    </w:pPr>
  </w:p>
  <w:p w:rsidR="00933FA7" w:rsidRPr="00F8524A" w:rsidRDefault="00933FA7" w:rsidP="00F8524A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817" w:rsidRDefault="00C37817" w:rsidP="00EE05A8">
      <w:r>
        <w:separator/>
      </w:r>
    </w:p>
  </w:footnote>
  <w:footnote w:type="continuationSeparator" w:id="0">
    <w:p w:rsidR="00C37817" w:rsidRDefault="00C37817" w:rsidP="00EE05A8">
      <w:r>
        <w:continuationSeparator/>
      </w:r>
    </w:p>
  </w:footnote>
  <w:footnote w:id="1">
    <w:p w:rsidR="00933FA7" w:rsidRDefault="00933FA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 text reads </w:t>
      </w:r>
      <w:r>
        <w:rPr>
          <w:rFonts w:hint="cs"/>
          <w:rtl/>
          <w:lang w:bidi="he-IL"/>
        </w:rPr>
        <w:t>'הבא'</w:t>
      </w:r>
      <w:r>
        <w:rPr>
          <w:lang w:bidi="he-IL"/>
        </w:rPr>
        <w:t xml:space="preserve"> not </w:t>
      </w:r>
      <w:r>
        <w:rPr>
          <w:rFonts w:hint="cs"/>
          <w:rtl/>
          <w:lang w:bidi="he-IL"/>
        </w:rPr>
        <w:t>'והבא'</w:t>
      </w:r>
      <w:r>
        <w:rPr>
          <w:lang w:bidi="he-IL"/>
        </w:rPr>
        <w:t>.</w:t>
      </w:r>
    </w:p>
  </w:footnote>
  <w:footnote w:id="2">
    <w:p w:rsidR="00933FA7" w:rsidRDefault="00933FA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There is a </w:t>
      </w:r>
      <w:r>
        <w:rPr>
          <w:rFonts w:hint="cs"/>
          <w:rtl/>
          <w:lang w:bidi="he-IL"/>
        </w:rPr>
        <w:t>חידוש</w:t>
      </w:r>
      <w:r>
        <w:rPr>
          <w:lang w:bidi="he-IL"/>
        </w:rPr>
        <w:t xml:space="preserve"> in these cases that even though they are </w:t>
      </w:r>
      <w:r>
        <w:rPr>
          <w:rFonts w:hint="cs"/>
          <w:rtl/>
          <w:lang w:bidi="he-IL"/>
        </w:rPr>
        <w:t>אסורים</w:t>
      </w:r>
      <w:r>
        <w:rPr>
          <w:lang w:bidi="he-IL"/>
        </w:rPr>
        <w:t xml:space="preserve">, and the </w:t>
      </w:r>
      <w:r>
        <w:rPr>
          <w:rFonts w:hint="cs"/>
          <w:rtl/>
          <w:lang w:bidi="he-IL"/>
        </w:rPr>
        <w:t>מאנס</w:t>
      </w:r>
      <w:r>
        <w:rPr>
          <w:lang w:bidi="he-IL"/>
        </w:rPr>
        <w:t xml:space="preserve"> is forbidden to actually marry her (as the </w:t>
      </w:r>
      <w:r>
        <w:rPr>
          <w:rFonts w:hint="cs"/>
          <w:rtl/>
          <w:lang w:bidi="he-IL"/>
        </w:rPr>
        <w:t>תורה</w:t>
      </w:r>
      <w:r>
        <w:rPr>
          <w:lang w:bidi="he-IL"/>
        </w:rPr>
        <w:t xml:space="preserve"> [usually] requires), nevertheless they receive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>.</w:t>
      </w:r>
    </w:p>
  </w:footnote>
  <w:footnote w:id="3">
    <w:p w:rsidR="00933FA7" w:rsidRDefault="00933FA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does not join them with the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 xml:space="preserve">. There are those who maintain that </w:t>
      </w:r>
      <w:r>
        <w:rPr>
          <w:rFonts w:hint="cs"/>
          <w:rtl/>
          <w:lang w:bidi="he-IL"/>
        </w:rPr>
        <w:t>חייבי כריתות</w:t>
      </w:r>
      <w:r>
        <w:rPr>
          <w:lang w:bidi="he-IL"/>
        </w:rPr>
        <w:t xml:space="preserve"> do not pay </w:t>
      </w:r>
      <w:r>
        <w:rPr>
          <w:rFonts w:hint="cs"/>
          <w:rtl/>
          <w:lang w:bidi="he-IL"/>
        </w:rPr>
        <w:t>קנס</w:t>
      </w:r>
      <w:r>
        <w:rPr>
          <w:lang w:bidi="he-IL"/>
        </w:rPr>
        <w:t>.</w:t>
      </w:r>
    </w:p>
  </w:footnote>
  <w:footnote w:id="4">
    <w:p w:rsidR="00933FA7" w:rsidRDefault="00933FA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Therefore it could not mention them together with the </w:t>
      </w:r>
      <w:r>
        <w:rPr>
          <w:rFonts w:hint="cs"/>
          <w:rtl/>
          <w:lang w:bidi="he-IL"/>
        </w:rPr>
        <w:t>חייבי לאוין</w:t>
      </w:r>
      <w:r>
        <w:rPr>
          <w:lang w:bidi="he-IL"/>
        </w:rPr>
        <w:t>.</w:t>
      </w:r>
    </w:p>
  </w:footnote>
  <w:footnote w:id="5">
    <w:p w:rsidR="00933FA7" w:rsidRDefault="00933FA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there records all the </w:t>
      </w:r>
      <w:r>
        <w:rPr>
          <w:rFonts w:hint="cs"/>
          <w:rtl/>
          <w:lang w:bidi="he-IL"/>
        </w:rPr>
        <w:t>חייבי מלקות</w:t>
      </w:r>
      <w:r>
        <w:rPr>
          <w:lang w:bidi="he-IL"/>
        </w:rPr>
        <w:t>.</w:t>
      </w:r>
    </w:p>
  </w:footnote>
  <w:footnote w:id="6">
    <w:p w:rsidR="00933FA7" w:rsidRDefault="00933FA7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A7" w:rsidRPr="00F8524A" w:rsidRDefault="00933FA7" w:rsidP="00F8524A">
    <w:pPr>
      <w:pStyle w:val="Header"/>
      <w:bidi/>
      <w:rPr>
        <w:rFonts w:hint="cs"/>
        <w:sz w:val="22"/>
        <w:szCs w:val="22"/>
        <w:lang w:bidi="he-IL"/>
      </w:rPr>
    </w:pPr>
    <w:r>
      <w:rPr>
        <w:rFonts w:hint="cs"/>
        <w:sz w:val="22"/>
        <w:szCs w:val="22"/>
        <w:rtl/>
        <w:lang w:bidi="he-IL"/>
      </w:rPr>
      <w:t>בס"ד. כתובות כט,א תוס' ד"ה והבא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0958"/>
    <w:rsid w:val="00184D2E"/>
    <w:rsid w:val="0020216B"/>
    <w:rsid w:val="00210A1E"/>
    <w:rsid w:val="002D4C31"/>
    <w:rsid w:val="003F6705"/>
    <w:rsid w:val="005E6420"/>
    <w:rsid w:val="0067221C"/>
    <w:rsid w:val="007552E7"/>
    <w:rsid w:val="007C0E8E"/>
    <w:rsid w:val="00816504"/>
    <w:rsid w:val="00816837"/>
    <w:rsid w:val="0089054C"/>
    <w:rsid w:val="009240B2"/>
    <w:rsid w:val="00933FA7"/>
    <w:rsid w:val="009C2C11"/>
    <w:rsid w:val="00A919DD"/>
    <w:rsid w:val="00B07568"/>
    <w:rsid w:val="00B7596C"/>
    <w:rsid w:val="00C37817"/>
    <w:rsid w:val="00C449F1"/>
    <w:rsid w:val="00D54370"/>
    <w:rsid w:val="00D80DE2"/>
    <w:rsid w:val="00DB6A62"/>
    <w:rsid w:val="00E92CD0"/>
    <w:rsid w:val="00EE05A8"/>
    <w:rsid w:val="00F8431C"/>
    <w:rsid w:val="00F8524A"/>
    <w:rsid w:val="00F90958"/>
    <w:rsid w:val="00FD72A3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A7A68E-DA89-4EAD-AE08-3C81DF5F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character" w:styleId="Hyperlink">
    <w:name w:val="Hyperlink"/>
    <w:basedOn w:val="DefaultParagraphFont"/>
    <w:rsid w:val="00F90958"/>
    <w:rPr>
      <w:color w:val="0000FF"/>
      <w:u w:val="single"/>
    </w:rPr>
  </w:style>
  <w:style w:type="paragraph" w:styleId="NormalWeb">
    <w:name w:val="Normal (Web)"/>
    <w:basedOn w:val="Normal"/>
    <w:rsid w:val="00F90958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FootnoteText">
    <w:name w:val="footnote text"/>
    <w:basedOn w:val="Normal"/>
    <w:link w:val="FootnoteTextChar"/>
    <w:rsid w:val="00EE05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E05A8"/>
    <w:rPr>
      <w:lang w:bidi="ar-SA"/>
    </w:rPr>
  </w:style>
  <w:style w:type="character" w:styleId="FootnoteReference">
    <w:name w:val="footnote reference"/>
    <w:basedOn w:val="DefaultParagraphFont"/>
    <w:rsid w:val="00EE05A8"/>
    <w:rPr>
      <w:vertAlign w:val="superscript"/>
    </w:rPr>
  </w:style>
  <w:style w:type="paragraph" w:styleId="Header">
    <w:name w:val="header"/>
    <w:basedOn w:val="Normal"/>
    <w:rsid w:val="00F852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524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Microsoft account</cp:lastModifiedBy>
  <cp:revision>2</cp:revision>
  <dcterms:created xsi:type="dcterms:W3CDTF">2022-04-06T10:45:00Z</dcterms:created>
  <dcterms:modified xsi:type="dcterms:W3CDTF">2022-04-06T10:45:00Z</dcterms:modified>
</cp:coreProperties>
</file>