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E09" w:rsidRDefault="00277DA8" w:rsidP="00E54340">
      <w:pPr>
        <w:pStyle w:val="NormalWeb"/>
        <w:bidi/>
        <w:spacing w:before="0" w:beforeAutospacing="0" w:after="0" w:afterAutospacing="0"/>
        <w:jc w:val="both"/>
        <w:rPr>
          <w:b/>
          <w:bCs/>
          <w:rtl/>
        </w:rPr>
      </w:pPr>
      <w:bookmarkStart w:id="0" w:name="_GoBack"/>
      <w:bookmarkEnd w:id="0"/>
      <w:r w:rsidRPr="00494E09">
        <w:rPr>
          <w:rFonts w:hint="cs"/>
          <w:b/>
          <w:bCs/>
          <w:sz w:val="36"/>
          <w:szCs w:val="36"/>
          <w:rtl/>
        </w:rPr>
        <w:t>בתולה</w:t>
      </w:r>
      <w:r>
        <w:rPr>
          <w:rFonts w:hint="cs"/>
          <w:rtl/>
        </w:rPr>
        <w:t xml:space="preserve"> </w:t>
      </w:r>
      <w:r w:rsidRPr="00494E09">
        <w:rPr>
          <w:rFonts w:hint="cs"/>
          <w:b/>
          <w:bCs/>
          <w:sz w:val="32"/>
          <w:szCs w:val="32"/>
          <w:rtl/>
        </w:rPr>
        <w:t>בתולות הבתולות</w:t>
      </w:r>
      <w:r w:rsidR="00494E09">
        <w:rPr>
          <w:rFonts w:hint="cs"/>
          <w:b/>
          <w:bCs/>
          <w:sz w:val="32"/>
          <w:szCs w:val="32"/>
          <w:rtl/>
        </w:rPr>
        <w:t xml:space="preserve"> </w:t>
      </w:r>
      <w:r w:rsidR="00E54340">
        <w:rPr>
          <w:b/>
          <w:bCs/>
          <w:sz w:val="32"/>
          <w:szCs w:val="32"/>
          <w:rtl/>
        </w:rPr>
        <w:t>–</w:t>
      </w:r>
      <w:r w:rsidR="00494E09">
        <w:rPr>
          <w:rFonts w:hint="cs"/>
          <w:b/>
          <w:bCs/>
          <w:sz w:val="32"/>
          <w:szCs w:val="32"/>
          <w:rtl/>
        </w:rPr>
        <w:t xml:space="preserve"> </w:t>
      </w:r>
      <w:r w:rsidR="00E54340">
        <w:rPr>
          <w:b/>
          <w:bCs/>
          <w:sz w:val="32"/>
          <w:szCs w:val="32"/>
        </w:rPr>
        <w:t xml:space="preserve">Virgin, virgins, the virgins                        </w:t>
      </w:r>
    </w:p>
    <w:p w:rsidR="00494E09" w:rsidRPr="00E54340" w:rsidRDefault="00494E09" w:rsidP="00E54340">
      <w:pPr>
        <w:pStyle w:val="NormalWeb"/>
        <w:spacing w:before="0" w:beforeAutospacing="0" w:after="0" w:afterAutospacing="0"/>
        <w:jc w:val="both"/>
        <w:rPr>
          <w:rFonts w:hint="cs"/>
          <w:rtl/>
        </w:rPr>
      </w:pPr>
    </w:p>
    <w:p w:rsidR="00494E09" w:rsidRDefault="00E54340" w:rsidP="00E5434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Overview</w:t>
      </w:r>
    </w:p>
    <w:p w:rsidR="00E54340" w:rsidRPr="00E54340" w:rsidRDefault="00E54340" w:rsidP="00DB264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rFonts w:hint="cs"/>
          <w:sz w:val="28"/>
          <w:szCs w:val="28"/>
          <w:rtl/>
        </w:rPr>
        <w:t>פרשת מפתה</w:t>
      </w:r>
      <w:r>
        <w:rPr>
          <w:rStyle w:val="FootnoteReference"/>
          <w:sz w:val="28"/>
          <w:szCs w:val="28"/>
          <w:rtl/>
        </w:rPr>
        <w:footnoteReference w:id="1"/>
      </w:r>
      <w:r>
        <w:rPr>
          <w:sz w:val="28"/>
          <w:szCs w:val="28"/>
        </w:rPr>
        <w:t xml:space="preserve"> the </w:t>
      </w:r>
      <w:r>
        <w:rPr>
          <w:rFonts w:hint="cs"/>
          <w:sz w:val="28"/>
          <w:szCs w:val="28"/>
          <w:rtl/>
        </w:rPr>
        <w:t>תורה</w:t>
      </w:r>
      <w:r>
        <w:rPr>
          <w:sz w:val="28"/>
          <w:szCs w:val="28"/>
        </w:rPr>
        <w:t xml:space="preserve"> writes first </w:t>
      </w:r>
      <w:r>
        <w:rPr>
          <w:rFonts w:hint="cs"/>
          <w:sz w:val="28"/>
          <w:szCs w:val="28"/>
          <w:rtl/>
        </w:rPr>
        <w:t>וכי יפתה איש בתולה וגו'</w:t>
      </w:r>
      <w:r>
        <w:rPr>
          <w:sz w:val="28"/>
          <w:szCs w:val="28"/>
        </w:rPr>
        <w:t xml:space="preserve"> and the next </w:t>
      </w:r>
      <w:r w:rsidR="00DB2642">
        <w:rPr>
          <w:rFonts w:hint="cs"/>
          <w:sz w:val="28"/>
          <w:szCs w:val="28"/>
          <w:rtl/>
        </w:rPr>
        <w:t>פסוק</w:t>
      </w:r>
      <w:r w:rsidR="00DB2642">
        <w:rPr>
          <w:sz w:val="28"/>
          <w:szCs w:val="28"/>
        </w:rPr>
        <w:t xml:space="preserve"> concludes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כסף ישקול כמהר הבתולות</w:t>
      </w:r>
      <w:r>
        <w:rPr>
          <w:sz w:val="28"/>
          <w:szCs w:val="28"/>
        </w:rPr>
        <w:t>.</w:t>
      </w:r>
      <w:r w:rsidR="00DB2642">
        <w:rPr>
          <w:sz w:val="28"/>
          <w:szCs w:val="28"/>
        </w:rPr>
        <w:t xml:space="preserve"> It is from these two </w:t>
      </w:r>
      <w:r w:rsidR="00DB2642">
        <w:rPr>
          <w:rFonts w:hint="cs"/>
          <w:sz w:val="28"/>
          <w:szCs w:val="28"/>
          <w:rtl/>
        </w:rPr>
        <w:t>פסוקים</w:t>
      </w:r>
      <w:r w:rsidR="00DB2642">
        <w:rPr>
          <w:sz w:val="28"/>
          <w:szCs w:val="28"/>
        </w:rPr>
        <w:t xml:space="preserve"> (and the two words </w:t>
      </w:r>
      <w:r w:rsidR="00DB2642">
        <w:rPr>
          <w:rFonts w:hint="cs"/>
          <w:sz w:val="28"/>
          <w:szCs w:val="28"/>
          <w:rtl/>
        </w:rPr>
        <w:t xml:space="preserve">בתולה, </w:t>
      </w:r>
      <w:r w:rsidR="00B122C7">
        <w:rPr>
          <w:rFonts w:hint="cs"/>
          <w:sz w:val="28"/>
          <w:szCs w:val="28"/>
          <w:rtl/>
        </w:rPr>
        <w:t>ה</w:t>
      </w:r>
      <w:r w:rsidR="00DB2642">
        <w:rPr>
          <w:rFonts w:hint="cs"/>
          <w:sz w:val="28"/>
          <w:szCs w:val="28"/>
          <w:rtl/>
        </w:rPr>
        <w:t>בתולות</w:t>
      </w:r>
      <w:r w:rsidR="00DB2642">
        <w:rPr>
          <w:sz w:val="28"/>
          <w:szCs w:val="28"/>
        </w:rPr>
        <w:t xml:space="preserve">) that we derive (according to </w:t>
      </w:r>
      <w:r w:rsidR="00DB2642">
        <w:rPr>
          <w:rFonts w:hint="cs"/>
          <w:sz w:val="28"/>
          <w:szCs w:val="28"/>
          <w:rtl/>
        </w:rPr>
        <w:t>רש"י</w:t>
      </w:r>
      <w:r w:rsidR="00DB2642">
        <w:rPr>
          <w:sz w:val="28"/>
          <w:szCs w:val="28"/>
        </w:rPr>
        <w:t xml:space="preserve">) the </w:t>
      </w:r>
      <w:r w:rsidR="00DB2642">
        <w:rPr>
          <w:rFonts w:hint="cs"/>
          <w:sz w:val="28"/>
          <w:szCs w:val="28"/>
          <w:rtl/>
        </w:rPr>
        <w:t>חיוב קנס</w:t>
      </w:r>
      <w:r w:rsidR="00DB2642">
        <w:rPr>
          <w:sz w:val="28"/>
          <w:szCs w:val="28"/>
        </w:rPr>
        <w:t xml:space="preserve"> by </w:t>
      </w:r>
      <w:r w:rsidR="00DB2642">
        <w:rPr>
          <w:rFonts w:hint="cs"/>
          <w:sz w:val="28"/>
          <w:szCs w:val="28"/>
          <w:rtl/>
        </w:rPr>
        <w:t>חייבי לאוין וחייבי</w:t>
      </w:r>
      <w:r w:rsidR="00DB2642" w:rsidRPr="00DB2642">
        <w:rPr>
          <w:rFonts w:hint="cs"/>
          <w:sz w:val="28"/>
          <w:szCs w:val="28"/>
          <w:rtl/>
        </w:rPr>
        <w:t xml:space="preserve"> </w:t>
      </w:r>
      <w:r w:rsidR="00DB2642">
        <w:rPr>
          <w:rFonts w:hint="cs"/>
          <w:sz w:val="28"/>
          <w:szCs w:val="28"/>
          <w:rtl/>
        </w:rPr>
        <w:t>כריתות</w:t>
      </w:r>
      <w:r w:rsidR="00DB2642">
        <w:rPr>
          <w:sz w:val="28"/>
          <w:szCs w:val="28"/>
        </w:rPr>
        <w:t xml:space="preserve">. The word </w:t>
      </w:r>
      <w:r w:rsidR="00DB2642">
        <w:rPr>
          <w:rFonts w:hint="cs"/>
          <w:sz w:val="28"/>
          <w:szCs w:val="28"/>
          <w:rtl/>
        </w:rPr>
        <w:t>הבתולות</w:t>
      </w:r>
      <w:r w:rsidR="00DB2642">
        <w:rPr>
          <w:sz w:val="28"/>
          <w:szCs w:val="28"/>
        </w:rPr>
        <w:t xml:space="preserve"> in the second </w:t>
      </w:r>
      <w:r w:rsidR="00DB2642">
        <w:rPr>
          <w:rFonts w:hint="cs"/>
          <w:sz w:val="28"/>
          <w:szCs w:val="28"/>
          <w:rtl/>
        </w:rPr>
        <w:t>פסוק</w:t>
      </w:r>
      <w:r w:rsidR="00DB2642">
        <w:rPr>
          <w:sz w:val="28"/>
          <w:szCs w:val="28"/>
        </w:rPr>
        <w:t xml:space="preserve"> is superfluous, from which derive the above</w:t>
      </w:r>
      <w:r w:rsidR="00DB2642">
        <w:rPr>
          <w:rStyle w:val="FootnoteReference"/>
          <w:sz w:val="28"/>
          <w:szCs w:val="28"/>
        </w:rPr>
        <w:footnoteReference w:id="2"/>
      </w:r>
      <w:r w:rsidR="00DB2642">
        <w:rPr>
          <w:sz w:val="28"/>
          <w:szCs w:val="28"/>
        </w:rPr>
        <w:t xml:space="preserve">. </w:t>
      </w:r>
      <w:r w:rsidR="00DB2642">
        <w:rPr>
          <w:rFonts w:hint="cs"/>
          <w:sz w:val="28"/>
          <w:szCs w:val="28"/>
          <w:rtl/>
        </w:rPr>
        <w:t>תוספות</w:t>
      </w:r>
      <w:r w:rsidR="00DB2642">
        <w:rPr>
          <w:sz w:val="28"/>
          <w:szCs w:val="28"/>
        </w:rPr>
        <w:t xml:space="preserve"> cites the </w:t>
      </w:r>
      <w:r w:rsidR="00DB2642">
        <w:rPr>
          <w:rFonts w:hint="cs"/>
          <w:sz w:val="28"/>
          <w:szCs w:val="28"/>
          <w:rtl/>
        </w:rPr>
        <w:t>ר"ח</w:t>
      </w:r>
      <w:r w:rsidR="00DB2642">
        <w:rPr>
          <w:sz w:val="28"/>
          <w:szCs w:val="28"/>
        </w:rPr>
        <w:t xml:space="preserve"> (again) and rejects his interpretation here as well.</w:t>
      </w:r>
    </w:p>
    <w:p w:rsidR="00494E09" w:rsidRPr="00B122C7" w:rsidRDefault="00B122C7" w:rsidP="00B122C7">
      <w:pPr>
        <w:pStyle w:val="NormalWeb"/>
        <w:bidi/>
        <w:spacing w:before="0" w:beforeAutospacing="0" w:after="0" w:afterAutospacing="0"/>
        <w:jc w:val="center"/>
      </w:pPr>
      <w:r>
        <w:t>----------------</w:t>
      </w:r>
    </w:p>
    <w:p w:rsidR="003E5D16" w:rsidRDefault="00277DA8" w:rsidP="00E54340">
      <w:pPr>
        <w:pStyle w:val="NormalWeb"/>
        <w:bidi/>
        <w:spacing w:before="0" w:beforeAutospacing="0" w:after="0" w:afterAutospacing="0"/>
        <w:jc w:val="both"/>
        <w:rPr>
          <w:rFonts w:cs="Aharoni" w:hint="cs"/>
          <w:sz w:val="28"/>
          <w:szCs w:val="28"/>
          <w:rtl/>
        </w:rPr>
      </w:pPr>
      <w:r w:rsidRPr="003E5D16">
        <w:rPr>
          <w:rFonts w:cs="Aharoni" w:hint="cs"/>
          <w:sz w:val="28"/>
          <w:szCs w:val="28"/>
          <w:rtl/>
        </w:rPr>
        <w:t>כאן נמי פ</w:t>
      </w:r>
      <w:r w:rsidR="003E5D16">
        <w:rPr>
          <w:rFonts w:cs="Aharoni" w:hint="cs"/>
          <w:sz w:val="28"/>
          <w:szCs w:val="28"/>
          <w:rtl/>
        </w:rPr>
        <w:t xml:space="preserve">ירש </w:t>
      </w:r>
      <w:r w:rsidRPr="003E5D16">
        <w:rPr>
          <w:rFonts w:cs="Aharoni" w:hint="cs"/>
          <w:sz w:val="28"/>
          <w:szCs w:val="28"/>
          <w:rtl/>
        </w:rPr>
        <w:t>ר</w:t>
      </w:r>
      <w:r w:rsidR="003E5D16">
        <w:rPr>
          <w:rFonts w:cs="Aharoni" w:hint="cs"/>
          <w:sz w:val="28"/>
          <w:szCs w:val="28"/>
          <w:rtl/>
        </w:rPr>
        <w:t xml:space="preserve">בינו </w:t>
      </w:r>
      <w:r w:rsidRPr="003E5D16">
        <w:rPr>
          <w:rFonts w:cs="Aharoni" w:hint="cs"/>
          <w:sz w:val="28"/>
          <w:szCs w:val="28"/>
          <w:rtl/>
        </w:rPr>
        <w:t>ח</w:t>
      </w:r>
      <w:r w:rsidR="003E5D16">
        <w:rPr>
          <w:rFonts w:cs="Aharoni" w:hint="cs"/>
          <w:sz w:val="28"/>
          <w:szCs w:val="28"/>
          <w:rtl/>
        </w:rPr>
        <w:t>ננאל</w:t>
      </w:r>
      <w:r w:rsidRPr="003E5D16">
        <w:rPr>
          <w:rFonts w:cs="Aharoni" w:hint="cs"/>
          <w:sz w:val="28"/>
          <w:szCs w:val="28"/>
          <w:rtl/>
        </w:rPr>
        <w:t xml:space="preserve"> דמחד קרא נפקי כולהו </w:t>
      </w:r>
      <w:r w:rsidR="003E5D16">
        <w:rPr>
          <w:rFonts w:cs="Aharoni"/>
          <w:sz w:val="28"/>
          <w:szCs w:val="28"/>
          <w:rtl/>
        </w:rPr>
        <w:t>–</w:t>
      </w:r>
    </w:p>
    <w:p w:rsidR="003E5D16" w:rsidRPr="00B122C7" w:rsidRDefault="003E5D16" w:rsidP="00CA05C2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ר"ח</w:t>
      </w:r>
      <w:r>
        <w:rPr>
          <w:b/>
          <w:bCs/>
          <w:sz w:val="28"/>
          <w:szCs w:val="28"/>
        </w:rPr>
        <w:t xml:space="preserve"> explains here as well</w:t>
      </w:r>
      <w:r>
        <w:rPr>
          <w:rStyle w:val="FootnoteReference"/>
          <w:b/>
          <w:bCs/>
          <w:sz w:val="28"/>
          <w:szCs w:val="28"/>
        </w:rPr>
        <w:footnoteReference w:id="3"/>
      </w:r>
      <w:r>
        <w:rPr>
          <w:b/>
          <w:bCs/>
          <w:sz w:val="28"/>
          <w:szCs w:val="28"/>
        </w:rPr>
        <w:t xml:space="preserve">, that we derive all </w:t>
      </w:r>
      <w:r>
        <w:rPr>
          <w:sz w:val="28"/>
          <w:szCs w:val="28"/>
        </w:rPr>
        <w:t>the</w:t>
      </w:r>
      <w:r w:rsidR="00CA05C2">
        <w:rPr>
          <w:sz w:val="28"/>
          <w:szCs w:val="28"/>
        </w:rPr>
        <w:t xml:space="preserve"> three</w:t>
      </w:r>
      <w:r>
        <w:rPr>
          <w:sz w:val="28"/>
          <w:szCs w:val="28"/>
        </w:rPr>
        <w:t xml:space="preserve"> lessons </w:t>
      </w:r>
      <w:r>
        <w:rPr>
          <w:b/>
          <w:bCs/>
          <w:sz w:val="28"/>
          <w:szCs w:val="28"/>
        </w:rPr>
        <w:t xml:space="preserve">from one </w:t>
      </w:r>
      <w:r>
        <w:rPr>
          <w:rFonts w:hint="cs"/>
          <w:b/>
          <w:bCs/>
          <w:sz w:val="28"/>
          <w:szCs w:val="28"/>
          <w:rtl/>
        </w:rPr>
        <w:t>פסוק</w:t>
      </w:r>
      <w:r w:rsidR="00CA05C2">
        <w:rPr>
          <w:b/>
          <w:bCs/>
          <w:sz w:val="28"/>
          <w:szCs w:val="28"/>
        </w:rPr>
        <w:t>.</w:t>
      </w:r>
      <w:r w:rsidR="00CA05C2">
        <w:rPr>
          <w:rStyle w:val="FootnoteReference"/>
          <w:b/>
          <w:bCs/>
          <w:sz w:val="28"/>
          <w:szCs w:val="28"/>
        </w:rPr>
        <w:footnoteReference w:id="4"/>
      </w:r>
      <w:r w:rsidR="00CA05C2">
        <w:rPr>
          <w:b/>
          <w:bCs/>
          <w:sz w:val="28"/>
          <w:szCs w:val="28"/>
        </w:rPr>
        <w:t xml:space="preserve"> </w:t>
      </w:r>
      <w:r w:rsidR="00B122C7" w:rsidRPr="00B122C7">
        <w:t>It</w:t>
      </w:r>
      <w:r w:rsidR="00CA05C2" w:rsidRPr="00B122C7">
        <w:t xml:space="preserve"> could have said </w:t>
      </w:r>
      <w:r w:rsidR="00CA05C2" w:rsidRPr="00B122C7">
        <w:rPr>
          <w:rFonts w:hint="cs"/>
          <w:rtl/>
        </w:rPr>
        <w:t>בתולות</w:t>
      </w:r>
      <w:r w:rsidR="00CA05C2" w:rsidRPr="00B122C7">
        <w:t xml:space="preserve"> instead of </w:t>
      </w:r>
      <w:r w:rsidR="00CA05C2" w:rsidRPr="00B122C7">
        <w:rPr>
          <w:rFonts w:hint="cs"/>
          <w:rtl/>
        </w:rPr>
        <w:t>הבתולות</w:t>
      </w:r>
      <w:r w:rsidR="00CA05C2" w:rsidRPr="00B122C7">
        <w:t xml:space="preserve"> (lesson one); it could have said </w:t>
      </w:r>
      <w:r w:rsidR="00CA05C2" w:rsidRPr="00B122C7">
        <w:rPr>
          <w:rFonts w:hint="cs"/>
          <w:rtl/>
        </w:rPr>
        <w:t>בתולה</w:t>
      </w:r>
      <w:r w:rsidR="00CA05C2" w:rsidRPr="00B122C7">
        <w:t xml:space="preserve"> instead of </w:t>
      </w:r>
      <w:r w:rsidR="00CA05C2" w:rsidRPr="00B122C7">
        <w:rPr>
          <w:rFonts w:hint="cs"/>
          <w:rtl/>
        </w:rPr>
        <w:t>בתולות</w:t>
      </w:r>
      <w:r w:rsidR="00CA05C2" w:rsidRPr="00B122C7">
        <w:t xml:space="preserve"> (lesson two); the word </w:t>
      </w:r>
      <w:r w:rsidR="00CA05C2" w:rsidRPr="00B122C7">
        <w:rPr>
          <w:rFonts w:hint="cs"/>
          <w:rtl/>
        </w:rPr>
        <w:t>בתולה</w:t>
      </w:r>
      <w:r w:rsidR="00CA05C2" w:rsidRPr="00B122C7">
        <w:t xml:space="preserve"> itself (lesson three) to teach us </w:t>
      </w:r>
      <w:r w:rsidR="00CA05C2" w:rsidRPr="00B122C7">
        <w:rPr>
          <w:rFonts w:hint="cs"/>
          <w:rtl/>
        </w:rPr>
        <w:t>חד לגופיה וחד לחייבי לאוין וחד לחייבי כריתות</w:t>
      </w:r>
      <w:r w:rsidR="00CA05C2" w:rsidRPr="00B122C7">
        <w:t xml:space="preserve">. </w:t>
      </w:r>
      <w:r w:rsidRPr="00B122C7">
        <w:rPr>
          <w:b/>
          <w:bCs/>
        </w:rPr>
        <w:t xml:space="preserve"> </w:t>
      </w:r>
    </w:p>
    <w:p w:rsidR="003E5D16" w:rsidRPr="00B122C7" w:rsidRDefault="003E5D16" w:rsidP="00E54340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3E5D16" w:rsidRPr="00B122C7" w:rsidRDefault="003E5D16" w:rsidP="00E54340">
      <w:pPr>
        <w:pStyle w:val="NormalWeb"/>
        <w:spacing w:before="0" w:beforeAutospacing="0" w:after="0" w:afterAutospacing="0"/>
        <w:jc w:val="both"/>
      </w:pPr>
      <w:r w:rsidRPr="00B122C7">
        <w:rPr>
          <w:rFonts w:hint="cs"/>
          <w:rtl/>
        </w:rPr>
        <w:t>תוספות</w:t>
      </w:r>
      <w:r w:rsidRPr="00B122C7">
        <w:t xml:space="preserve"> rejects the </w:t>
      </w:r>
      <w:r w:rsidRPr="00B122C7">
        <w:rPr>
          <w:rFonts w:hint="cs"/>
          <w:rtl/>
        </w:rPr>
        <w:t>פר"ח</w:t>
      </w:r>
      <w:r w:rsidRPr="00B122C7">
        <w:t>:</w:t>
      </w:r>
    </w:p>
    <w:p w:rsidR="00277DA8" w:rsidRDefault="00277DA8" w:rsidP="00E54340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3E5D16">
        <w:rPr>
          <w:rFonts w:cs="Aharoni" w:hint="cs"/>
          <w:sz w:val="28"/>
          <w:szCs w:val="28"/>
          <w:rtl/>
        </w:rPr>
        <w:t>ואין נראה דלא צריך חד לגופיה דבתולה אחרינא כתיב</w:t>
      </w:r>
      <w:r w:rsidR="003E5D16">
        <w:rPr>
          <w:rFonts w:cs="Aharoni" w:hint="cs"/>
          <w:sz w:val="28"/>
          <w:szCs w:val="28"/>
          <w:rtl/>
        </w:rPr>
        <w:t xml:space="preserve"> </w:t>
      </w:r>
      <w:r w:rsidR="003E5D16">
        <w:rPr>
          <w:rFonts w:cs="Aharoni"/>
          <w:sz w:val="28"/>
          <w:szCs w:val="28"/>
          <w:rtl/>
        </w:rPr>
        <w:t>–</w:t>
      </w:r>
    </w:p>
    <w:p w:rsidR="003E5D16" w:rsidRDefault="003E5D16" w:rsidP="00E54340">
      <w:pPr>
        <w:pStyle w:val="NormalWeb"/>
        <w:spacing w:before="0" w:beforeAutospacing="0" w:after="0" w:afterAutospacing="0"/>
        <w:jc w:val="both"/>
      </w:pPr>
      <w:r>
        <w:rPr>
          <w:rFonts w:cs="Aharoni"/>
          <w:b/>
          <w:bCs/>
          <w:sz w:val="28"/>
          <w:szCs w:val="28"/>
        </w:rPr>
        <w:t xml:space="preserve">And it </w:t>
      </w:r>
      <w:r w:rsidR="00E54340">
        <w:rPr>
          <w:rFonts w:cs="Aharoni"/>
          <w:b/>
          <w:bCs/>
          <w:sz w:val="28"/>
          <w:szCs w:val="28"/>
        </w:rPr>
        <w:t>is not acceptable</w:t>
      </w:r>
      <w:r w:rsidR="00B122C7">
        <w:rPr>
          <w:rStyle w:val="FootnoteReference"/>
          <w:rFonts w:cs="Aharoni"/>
          <w:b/>
          <w:bCs/>
          <w:sz w:val="28"/>
          <w:szCs w:val="28"/>
        </w:rPr>
        <w:footnoteReference w:id="5"/>
      </w:r>
      <w:r w:rsidR="00E54340">
        <w:rPr>
          <w:rFonts w:cs="Aharoni"/>
          <w:b/>
          <w:bCs/>
          <w:sz w:val="28"/>
          <w:szCs w:val="28"/>
        </w:rPr>
        <w:t xml:space="preserve">; for it is not necessary to </w:t>
      </w:r>
      <w:r w:rsidR="00E54340">
        <w:rPr>
          <w:rFonts w:cs="Aharoni"/>
          <w:sz w:val="28"/>
          <w:szCs w:val="28"/>
        </w:rPr>
        <w:t xml:space="preserve">utilize </w:t>
      </w:r>
      <w:r w:rsidR="00E54340">
        <w:rPr>
          <w:rFonts w:cs="Aharoni"/>
          <w:b/>
          <w:bCs/>
          <w:sz w:val="28"/>
          <w:szCs w:val="28"/>
        </w:rPr>
        <w:t xml:space="preserve">one </w:t>
      </w:r>
      <w:r w:rsidR="00E54340">
        <w:rPr>
          <w:rFonts w:hint="cs"/>
          <w:sz w:val="28"/>
          <w:szCs w:val="28"/>
          <w:rtl/>
        </w:rPr>
        <w:t>דרשה לגופיה</w:t>
      </w:r>
      <w:r w:rsidR="00E54340">
        <w:rPr>
          <w:sz w:val="28"/>
          <w:szCs w:val="28"/>
        </w:rPr>
        <w:t xml:space="preserve">, </w:t>
      </w:r>
      <w:r w:rsidR="00E54340">
        <w:rPr>
          <w:b/>
          <w:bCs/>
          <w:sz w:val="28"/>
          <w:szCs w:val="28"/>
        </w:rPr>
        <w:t xml:space="preserve">since </w:t>
      </w:r>
      <w:r w:rsidR="00E54340">
        <w:rPr>
          <w:rFonts w:hint="cs"/>
          <w:b/>
          <w:bCs/>
          <w:sz w:val="28"/>
          <w:szCs w:val="28"/>
          <w:rtl/>
        </w:rPr>
        <w:t>בתולה</w:t>
      </w:r>
      <w:r w:rsidR="00E54340">
        <w:rPr>
          <w:b/>
          <w:bCs/>
          <w:sz w:val="28"/>
          <w:szCs w:val="28"/>
        </w:rPr>
        <w:t xml:space="preserve"> is written another </w:t>
      </w:r>
      <w:r w:rsidR="00E54340" w:rsidRPr="00B122C7">
        <w:t>time</w:t>
      </w:r>
      <w:r w:rsidR="00CA05C2" w:rsidRPr="00B122C7">
        <w:rPr>
          <w:rStyle w:val="FootnoteReference"/>
        </w:rPr>
        <w:footnoteReference w:id="6"/>
      </w:r>
      <w:r w:rsidR="00E54340" w:rsidRPr="00B122C7">
        <w:t xml:space="preserve">, which teaches us </w:t>
      </w:r>
      <w:r w:rsidR="00E54340" w:rsidRPr="00B122C7">
        <w:rPr>
          <w:rFonts w:hint="cs"/>
          <w:rtl/>
        </w:rPr>
        <w:t>לגופיה</w:t>
      </w:r>
      <w:r w:rsidR="00E54340" w:rsidRPr="00B122C7">
        <w:t>.</w:t>
      </w:r>
    </w:p>
    <w:p w:rsidR="00B122C7" w:rsidRDefault="00B122C7" w:rsidP="00E54340">
      <w:pPr>
        <w:pStyle w:val="NormalWeb"/>
        <w:spacing w:before="0" w:beforeAutospacing="0" w:after="0" w:afterAutospacing="0"/>
        <w:jc w:val="both"/>
      </w:pPr>
    </w:p>
    <w:p w:rsidR="00B122C7" w:rsidRDefault="00B122C7" w:rsidP="00E5434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Summary</w:t>
      </w:r>
    </w:p>
    <w:p w:rsidR="00B122C7" w:rsidRDefault="00B122C7" w:rsidP="002523BB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ר"ח</w:t>
      </w:r>
      <w:r>
        <w:rPr>
          <w:sz w:val="28"/>
          <w:szCs w:val="28"/>
        </w:rPr>
        <w:t xml:space="preserve"> interprets that we can derive from </w:t>
      </w:r>
      <w:r>
        <w:rPr>
          <w:rFonts w:hint="cs"/>
          <w:sz w:val="28"/>
          <w:szCs w:val="28"/>
          <w:rtl/>
        </w:rPr>
        <w:t>כמהר הבתולות</w:t>
      </w:r>
      <w:r>
        <w:rPr>
          <w:sz w:val="28"/>
          <w:szCs w:val="28"/>
        </w:rPr>
        <w:t xml:space="preserve"> that there is </w:t>
      </w:r>
      <w:r>
        <w:rPr>
          <w:rFonts w:hint="cs"/>
          <w:sz w:val="28"/>
          <w:szCs w:val="28"/>
          <w:rtl/>
        </w:rPr>
        <w:t>קנס</w:t>
      </w:r>
      <w:r>
        <w:rPr>
          <w:sz w:val="28"/>
          <w:szCs w:val="28"/>
        </w:rPr>
        <w:t xml:space="preserve"> by a regular </w:t>
      </w:r>
      <w:r>
        <w:rPr>
          <w:rFonts w:hint="cs"/>
          <w:sz w:val="28"/>
          <w:szCs w:val="28"/>
          <w:rtl/>
        </w:rPr>
        <w:t>בתולה</w:t>
      </w:r>
      <w:r>
        <w:rPr>
          <w:sz w:val="28"/>
          <w:szCs w:val="28"/>
        </w:rPr>
        <w:t xml:space="preserve"> and also by </w:t>
      </w:r>
      <w:r>
        <w:rPr>
          <w:rFonts w:hint="cs"/>
          <w:sz w:val="28"/>
          <w:szCs w:val="28"/>
          <w:rtl/>
        </w:rPr>
        <w:t>חייבי לאוין וחייבי כריתות</w:t>
      </w:r>
      <w:r>
        <w:rPr>
          <w:sz w:val="28"/>
          <w:szCs w:val="28"/>
        </w:rPr>
        <w:t xml:space="preserve">.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rejects </w:t>
      </w:r>
      <w:r w:rsidR="002523BB">
        <w:rPr>
          <w:sz w:val="28"/>
          <w:szCs w:val="28"/>
        </w:rPr>
        <w:t>the</w:t>
      </w:r>
      <w:r>
        <w:rPr>
          <w:sz w:val="28"/>
          <w:szCs w:val="28"/>
        </w:rPr>
        <w:t xml:space="preserve"> need to derive a regular </w:t>
      </w:r>
      <w:r>
        <w:rPr>
          <w:rFonts w:hint="cs"/>
          <w:sz w:val="28"/>
          <w:szCs w:val="28"/>
          <w:rtl/>
        </w:rPr>
        <w:t>בתולה</w:t>
      </w:r>
      <w:r>
        <w:rPr>
          <w:sz w:val="28"/>
          <w:szCs w:val="28"/>
        </w:rPr>
        <w:t xml:space="preserve"> from </w:t>
      </w:r>
      <w:r>
        <w:rPr>
          <w:rFonts w:hint="cs"/>
          <w:sz w:val="28"/>
          <w:szCs w:val="28"/>
          <w:rtl/>
        </w:rPr>
        <w:t>הבתולות</w:t>
      </w:r>
      <w:r>
        <w:rPr>
          <w:sz w:val="28"/>
          <w:szCs w:val="28"/>
        </w:rPr>
        <w:t xml:space="preserve">, since </w:t>
      </w:r>
      <w:r>
        <w:rPr>
          <w:rFonts w:hint="cs"/>
          <w:sz w:val="28"/>
          <w:szCs w:val="28"/>
          <w:rtl/>
        </w:rPr>
        <w:t>בתולה</w:t>
      </w:r>
      <w:r>
        <w:rPr>
          <w:sz w:val="28"/>
          <w:szCs w:val="28"/>
        </w:rPr>
        <w:t xml:space="preserve">  is already written previously. </w:t>
      </w:r>
    </w:p>
    <w:p w:rsidR="002523BB" w:rsidRPr="00EF4663" w:rsidRDefault="002523BB" w:rsidP="002523BB">
      <w:pPr>
        <w:pStyle w:val="NormalWeb"/>
        <w:spacing w:before="0" w:beforeAutospacing="0" w:after="0" w:afterAutospacing="0"/>
        <w:jc w:val="both"/>
      </w:pPr>
    </w:p>
    <w:p w:rsidR="002523BB" w:rsidRDefault="002523BB" w:rsidP="002523BB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Thinking it over</w:t>
      </w:r>
    </w:p>
    <w:p w:rsidR="002523BB" w:rsidRPr="002523BB" w:rsidRDefault="00A129A1" w:rsidP="00A129A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 it possible that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is not rejecting the </w:t>
      </w:r>
      <w:r>
        <w:rPr>
          <w:rFonts w:hint="cs"/>
          <w:sz w:val="28"/>
          <w:szCs w:val="28"/>
          <w:rtl/>
        </w:rPr>
        <w:t>פר"ח</w:t>
      </w:r>
      <w:r>
        <w:rPr>
          <w:sz w:val="28"/>
          <w:szCs w:val="28"/>
        </w:rPr>
        <w:t xml:space="preserve"> here, as strongly as in the previous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concerning </w:t>
      </w:r>
      <w:r>
        <w:rPr>
          <w:rFonts w:hint="cs"/>
          <w:sz w:val="28"/>
          <w:szCs w:val="28"/>
          <w:rtl/>
        </w:rPr>
        <w:t>נערה</w:t>
      </w:r>
      <w:r>
        <w:rPr>
          <w:sz w:val="28"/>
          <w:szCs w:val="28"/>
        </w:rPr>
        <w:t xml:space="preserve">? (Or, perhaps he is not accepting </w:t>
      </w:r>
      <w:r>
        <w:rPr>
          <w:rFonts w:hint="cs"/>
          <w:sz w:val="28"/>
          <w:szCs w:val="28"/>
          <w:rtl/>
        </w:rPr>
        <w:t>פרש"י</w:t>
      </w:r>
      <w:r>
        <w:rPr>
          <w:sz w:val="28"/>
          <w:szCs w:val="28"/>
        </w:rPr>
        <w:t xml:space="preserve"> as strongly as in the previous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>!)</w:t>
      </w:r>
    </w:p>
    <w:p w:rsidR="00D80DE2" w:rsidRPr="00277DA8" w:rsidRDefault="00D80DE2" w:rsidP="00E54340">
      <w:pPr>
        <w:bidi/>
        <w:jc w:val="both"/>
      </w:pPr>
    </w:p>
    <w:sectPr w:rsidR="00D80DE2" w:rsidRPr="00277DA8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978" w:rsidRDefault="00841978">
      <w:r>
        <w:separator/>
      </w:r>
    </w:p>
  </w:endnote>
  <w:endnote w:type="continuationSeparator" w:id="0">
    <w:p w:rsidR="00841978" w:rsidRDefault="0084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663" w:rsidRDefault="00EF4663">
    <w:pPr>
      <w:pStyle w:val="Footer"/>
      <w:rPr>
        <w:rFonts w:hint="cs"/>
        <w:rtl/>
        <w:lang w:bidi="he-IL"/>
      </w:rPr>
    </w:pPr>
  </w:p>
  <w:p w:rsidR="00EF4663" w:rsidRPr="003E5D16" w:rsidRDefault="00EF4663" w:rsidP="003E5D16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978" w:rsidRDefault="00841978">
      <w:r>
        <w:separator/>
      </w:r>
    </w:p>
  </w:footnote>
  <w:footnote w:type="continuationSeparator" w:id="0">
    <w:p w:rsidR="00841978" w:rsidRDefault="00841978">
      <w:r>
        <w:continuationSeparator/>
      </w:r>
    </w:p>
  </w:footnote>
  <w:footnote w:id="1">
    <w:p w:rsidR="00EF4663" w:rsidRDefault="00EF466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שמות [משפטים] כב, טו-טז</w:t>
      </w:r>
      <w:r>
        <w:rPr>
          <w:lang w:bidi="he-IL"/>
        </w:rPr>
        <w:t>.</w:t>
      </w:r>
    </w:p>
  </w:footnote>
  <w:footnote w:id="2">
    <w:p w:rsidR="00EF4663" w:rsidRDefault="00EF466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רש"י ד"ה בתולה</w:t>
      </w:r>
      <w:r>
        <w:rPr>
          <w:lang w:bidi="he-IL"/>
        </w:rPr>
        <w:t>.</w:t>
      </w:r>
    </w:p>
  </w:footnote>
  <w:footnote w:id="3">
    <w:p w:rsidR="00EF4663" w:rsidRDefault="00EF466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  <w:lang w:bidi="he-IL"/>
        </w:rPr>
        <w:t>תוספות ד"ה נערה</w:t>
      </w:r>
      <w:r>
        <w:rPr>
          <w:lang w:bidi="he-IL"/>
        </w:rPr>
        <w:t>.</w:t>
      </w:r>
    </w:p>
  </w:footnote>
  <w:footnote w:id="4">
    <w:p w:rsidR="00EF4663" w:rsidRDefault="00EF466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second </w:t>
      </w:r>
      <w:r>
        <w:rPr>
          <w:rFonts w:hint="cs"/>
          <w:rtl/>
          <w:lang w:bidi="he-IL"/>
        </w:rPr>
        <w:t>פסוק, כמהר הבתולות</w:t>
      </w:r>
      <w:r>
        <w:rPr>
          <w:lang w:bidi="he-IL"/>
        </w:rPr>
        <w:t>.</w:t>
      </w:r>
    </w:p>
  </w:footnote>
  <w:footnote w:id="5">
    <w:p w:rsidR="00EF4663" w:rsidRDefault="00EF466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It seems that here too,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prefers </w:t>
      </w:r>
      <w:r>
        <w:rPr>
          <w:rFonts w:hint="cs"/>
          <w:rtl/>
          <w:lang w:bidi="he-IL"/>
        </w:rPr>
        <w:t>פרש"י</w:t>
      </w:r>
      <w:r>
        <w:rPr>
          <w:lang w:bidi="he-IL"/>
        </w:rPr>
        <w:t>.</w:t>
      </w:r>
      <w:r w:rsidR="00A129A1">
        <w:rPr>
          <w:lang w:bidi="he-IL"/>
        </w:rPr>
        <w:t xml:space="preserve"> See ‘Thinking it over’.</w:t>
      </w:r>
    </w:p>
  </w:footnote>
  <w:footnote w:id="6">
    <w:p w:rsidR="00EF4663" w:rsidRDefault="00EF466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first </w:t>
      </w:r>
      <w:r>
        <w:rPr>
          <w:rFonts w:hint="cs"/>
          <w:rtl/>
          <w:lang w:bidi="he-IL"/>
        </w:rPr>
        <w:t>פסוק, וכי יפתה איש בתולה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663" w:rsidRPr="003E5D16" w:rsidRDefault="00EF4663" w:rsidP="003E5D16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כט,ב תוס' ד"ה בתולה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7DA8"/>
    <w:rsid w:val="00184D2E"/>
    <w:rsid w:val="0020216B"/>
    <w:rsid w:val="00210A1E"/>
    <w:rsid w:val="002523BB"/>
    <w:rsid w:val="00277DA8"/>
    <w:rsid w:val="003B4A16"/>
    <w:rsid w:val="003E5D16"/>
    <w:rsid w:val="003F6705"/>
    <w:rsid w:val="00494E09"/>
    <w:rsid w:val="00506156"/>
    <w:rsid w:val="007552E7"/>
    <w:rsid w:val="00816504"/>
    <w:rsid w:val="00841978"/>
    <w:rsid w:val="0089054C"/>
    <w:rsid w:val="00A129A1"/>
    <w:rsid w:val="00B122C7"/>
    <w:rsid w:val="00CA05C2"/>
    <w:rsid w:val="00D54370"/>
    <w:rsid w:val="00D80DE2"/>
    <w:rsid w:val="00DB2642"/>
    <w:rsid w:val="00E54340"/>
    <w:rsid w:val="00EF4663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155F3-D0B8-471C-87CB-2C5892BF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NormalWeb">
    <w:name w:val="Normal (Web)"/>
    <w:basedOn w:val="Normal"/>
    <w:rsid w:val="00277DA8"/>
    <w:pPr>
      <w:spacing w:before="100" w:beforeAutospacing="1" w:after="100" w:afterAutospacing="1"/>
    </w:pPr>
    <w:rPr>
      <w:sz w:val="24"/>
      <w:szCs w:val="24"/>
      <w:lang w:bidi="he-IL"/>
    </w:rPr>
  </w:style>
  <w:style w:type="paragraph" w:styleId="Header">
    <w:name w:val="header"/>
    <w:basedOn w:val="Normal"/>
    <w:rsid w:val="003E5D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5D1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E5D1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E5D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7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בתולה בתולות הבתולות</vt:lpstr>
    </vt:vector>
  </TitlesOfParts>
  <Company> 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בתולה בתולות הבתולות</dc:title>
  <dc:subject/>
  <dc:creator> </dc:creator>
  <cp:keywords/>
  <dc:description/>
  <cp:lastModifiedBy>Microsoft account</cp:lastModifiedBy>
  <cp:revision>2</cp:revision>
  <dcterms:created xsi:type="dcterms:W3CDTF">2022-04-06T10:45:00Z</dcterms:created>
  <dcterms:modified xsi:type="dcterms:W3CDTF">2022-04-06T10:45:00Z</dcterms:modified>
</cp:coreProperties>
</file>