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34" w:rsidRDefault="00116DD6" w:rsidP="00435034">
      <w:pPr>
        <w:bidi/>
        <w:rPr>
          <w:b/>
          <w:bCs/>
          <w:sz w:val="32"/>
          <w:szCs w:val="32"/>
          <w:lang w:bidi="he-IL"/>
        </w:rPr>
      </w:pPr>
      <w:bookmarkStart w:id="0" w:name="_GoBack"/>
      <w:bookmarkEnd w:id="0"/>
      <w:r w:rsidRPr="00DE21DD">
        <w:rPr>
          <w:rFonts w:hint="cs"/>
          <w:b/>
          <w:bCs/>
          <w:sz w:val="36"/>
          <w:szCs w:val="36"/>
          <w:rtl/>
        </w:rPr>
        <w:t>וחד</w:t>
      </w:r>
      <w:r>
        <w:rPr>
          <w:rFonts w:hint="cs"/>
          <w:rtl/>
        </w:rPr>
        <w:t xml:space="preserve"> </w:t>
      </w:r>
      <w:r w:rsidRPr="00DE21DD">
        <w:rPr>
          <w:rFonts w:hint="cs"/>
          <w:b/>
          <w:bCs/>
          <w:sz w:val="32"/>
          <w:szCs w:val="32"/>
          <w:rtl/>
        </w:rPr>
        <w:t>לאיתויי חייבי לאוין</w:t>
      </w:r>
      <w:r w:rsidR="00DE21DD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E21DD">
        <w:rPr>
          <w:b/>
          <w:bCs/>
          <w:sz w:val="32"/>
          <w:szCs w:val="32"/>
          <w:rtl/>
          <w:lang w:bidi="he-IL"/>
        </w:rPr>
        <w:t>–</w:t>
      </w:r>
    </w:p>
    <w:p w:rsidR="00DE21DD" w:rsidRPr="00435034" w:rsidRDefault="00435034" w:rsidP="00435034">
      <w:pPr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</w:rPr>
        <w:t>And one to include transgressions of a prohibition</w:t>
      </w:r>
    </w:p>
    <w:p w:rsidR="00DE21DD" w:rsidRDefault="00DE21DD" w:rsidP="00DE21DD">
      <w:pPr>
        <w:bidi/>
        <w:rPr>
          <w:rFonts w:hint="cs"/>
          <w:sz w:val="24"/>
          <w:szCs w:val="24"/>
          <w:rtl/>
          <w:lang w:bidi="he-IL"/>
        </w:rPr>
      </w:pPr>
    </w:p>
    <w:p w:rsidR="00DE21DD" w:rsidRDefault="00624D5B" w:rsidP="00624D5B">
      <w:pPr>
        <w:rPr>
          <w:lang w:bidi="he-IL"/>
        </w:rPr>
      </w:pPr>
      <w:r>
        <w:rPr>
          <w:u w:val="single"/>
          <w:lang w:bidi="he-IL"/>
        </w:rPr>
        <w:t>Overview</w:t>
      </w:r>
    </w:p>
    <w:p w:rsidR="00624D5B" w:rsidRPr="00624D5B" w:rsidRDefault="00624D5B" w:rsidP="00FB1885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there </w:t>
      </w:r>
      <w:r w:rsidR="00E4144C">
        <w:rPr>
          <w:lang w:bidi="he-IL"/>
        </w:rPr>
        <w:t>are</w:t>
      </w:r>
      <w:r>
        <w:rPr>
          <w:lang w:bidi="he-IL"/>
        </w:rPr>
        <w:t xml:space="preserve"> two </w:t>
      </w:r>
      <w:r>
        <w:rPr>
          <w:rFonts w:hint="cs"/>
          <w:rtl/>
          <w:lang w:bidi="he-IL"/>
        </w:rPr>
        <w:t>דרשות</w:t>
      </w:r>
      <w:r>
        <w:rPr>
          <w:lang w:bidi="he-IL"/>
        </w:rPr>
        <w:t xml:space="preserve"> (or lessons) which allow us to include </w:t>
      </w:r>
      <w:r>
        <w:rPr>
          <w:rStyle w:val="FootnoteReference"/>
          <w:lang w:bidi="he-IL"/>
        </w:rPr>
        <w:footnoteReference w:id="1"/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חייבי כריתות</w:t>
      </w:r>
      <w:r w:rsidR="00230789">
        <w:rPr>
          <w:rStyle w:val="FootnoteReference"/>
          <w:rtl/>
          <w:lang w:bidi="he-IL"/>
        </w:rPr>
        <w:footnoteReference w:id="2"/>
      </w:r>
      <w:r>
        <w:rPr>
          <w:lang w:bidi="he-IL"/>
        </w:rPr>
        <w:t xml:space="preserve"> </w:t>
      </w:r>
      <w:r w:rsidR="00E4144C">
        <w:rPr>
          <w:lang w:bidi="he-IL"/>
        </w:rPr>
        <w:t>among those who</w:t>
      </w:r>
      <w:r>
        <w:rPr>
          <w:lang w:bidi="he-IL"/>
        </w:rPr>
        <w:t xml:space="preserve">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. It appears that one </w:t>
      </w:r>
      <w:r>
        <w:rPr>
          <w:rFonts w:hint="cs"/>
          <w:rtl/>
          <w:lang w:bidi="he-IL"/>
        </w:rPr>
        <w:t>דרשה</w:t>
      </w:r>
      <w:r>
        <w:rPr>
          <w:lang w:bidi="he-IL"/>
        </w:rPr>
        <w:t xml:space="preserve"> is not sufficient</w:t>
      </w:r>
      <w:r w:rsidR="00461104">
        <w:rPr>
          <w:lang w:bidi="he-IL"/>
        </w:rPr>
        <w:t>,</w:t>
      </w:r>
      <w:r>
        <w:rPr>
          <w:lang w:bidi="he-IL"/>
        </w:rPr>
        <w:t xml:space="preserve"> for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are two separate categories</w:t>
      </w:r>
      <w:r w:rsidR="00E4144C">
        <w:rPr>
          <w:lang w:bidi="he-IL"/>
        </w:rPr>
        <w:t xml:space="preserve"> (with differing levels of punishment)</w:t>
      </w:r>
      <w:r>
        <w:rPr>
          <w:lang w:bidi="he-IL"/>
        </w:rPr>
        <w:t xml:space="preserve"> and </w:t>
      </w:r>
      <w:r w:rsidR="00E4144C">
        <w:rPr>
          <w:lang w:bidi="he-IL"/>
        </w:rPr>
        <w:t xml:space="preserve">therefore </w:t>
      </w:r>
      <w:r>
        <w:rPr>
          <w:lang w:bidi="he-IL"/>
        </w:rPr>
        <w:t xml:space="preserve">require two </w:t>
      </w:r>
      <w:r>
        <w:rPr>
          <w:rFonts w:hint="cs"/>
          <w:rtl/>
          <w:lang w:bidi="he-IL"/>
        </w:rPr>
        <w:t>דרשות</w:t>
      </w:r>
      <w:r>
        <w:rPr>
          <w:lang w:bidi="he-IL"/>
        </w:rPr>
        <w:t>.</w:t>
      </w:r>
      <w:r w:rsidR="00FB1885">
        <w:rPr>
          <w:lang w:bidi="he-IL"/>
        </w:rPr>
        <w:t xml:space="preserve"> Our </w:t>
      </w:r>
      <w:r w:rsidR="00FB1885">
        <w:rPr>
          <w:rFonts w:hint="cs"/>
          <w:rtl/>
          <w:lang w:bidi="he-IL"/>
        </w:rPr>
        <w:t>תוספות</w:t>
      </w:r>
      <w:r w:rsidR="00FB1885">
        <w:rPr>
          <w:lang w:bidi="he-IL"/>
        </w:rPr>
        <w:t xml:space="preserve"> asks that</w:t>
      </w:r>
      <w:r>
        <w:rPr>
          <w:lang w:bidi="he-IL"/>
        </w:rPr>
        <w:t xml:space="preserve"> </w:t>
      </w:r>
      <w:r w:rsidR="00FB1885">
        <w:rPr>
          <w:lang w:bidi="he-IL"/>
        </w:rPr>
        <w:t>t</w:t>
      </w:r>
      <w:r w:rsidR="00230789">
        <w:rPr>
          <w:lang w:bidi="he-IL"/>
        </w:rPr>
        <w:t>here is a third (and lesser p</w:t>
      </w:r>
      <w:r w:rsidR="00E4144C">
        <w:rPr>
          <w:lang w:bidi="he-IL"/>
        </w:rPr>
        <w:t>unishable</w:t>
      </w:r>
      <w:r w:rsidR="00230789">
        <w:rPr>
          <w:lang w:bidi="he-IL"/>
        </w:rPr>
        <w:t>) category</w:t>
      </w:r>
      <w:r w:rsidR="00E4144C">
        <w:rPr>
          <w:lang w:bidi="he-IL"/>
        </w:rPr>
        <w:t>,</w:t>
      </w:r>
      <w:r w:rsidR="00230789">
        <w:rPr>
          <w:lang w:bidi="he-IL"/>
        </w:rPr>
        <w:t xml:space="preserve"> namely </w:t>
      </w:r>
      <w:r w:rsidR="00230789">
        <w:rPr>
          <w:rFonts w:hint="cs"/>
          <w:rtl/>
          <w:lang w:bidi="he-IL"/>
        </w:rPr>
        <w:t>חייבי עשה</w:t>
      </w:r>
      <w:r w:rsidR="00230789">
        <w:rPr>
          <w:rStyle w:val="FootnoteReference"/>
          <w:rtl/>
          <w:lang w:bidi="he-IL"/>
        </w:rPr>
        <w:footnoteReference w:id="3"/>
      </w:r>
      <w:r w:rsidR="00461104">
        <w:rPr>
          <w:lang w:bidi="he-IL"/>
        </w:rPr>
        <w:t>. Seemingly this</w:t>
      </w:r>
      <w:r w:rsidR="00FB1885">
        <w:rPr>
          <w:lang w:bidi="he-IL"/>
        </w:rPr>
        <w:t xml:space="preserve"> also requires a </w:t>
      </w:r>
      <w:r w:rsidR="00FB1885">
        <w:rPr>
          <w:rFonts w:hint="cs"/>
          <w:rtl/>
          <w:lang w:bidi="he-IL"/>
        </w:rPr>
        <w:t>דרשה</w:t>
      </w:r>
      <w:r w:rsidR="00953446">
        <w:rPr>
          <w:lang w:bidi="he-IL"/>
        </w:rPr>
        <w:t>,</w:t>
      </w:r>
      <w:r w:rsidR="00FB1885">
        <w:rPr>
          <w:lang w:bidi="he-IL"/>
        </w:rPr>
        <w:t xml:space="preserve"> and</w:t>
      </w:r>
      <w:r w:rsidR="00461104">
        <w:rPr>
          <w:lang w:bidi="he-IL"/>
        </w:rPr>
        <w:t xml:space="preserve"> </w:t>
      </w:r>
      <w:r w:rsidR="00953446">
        <w:rPr>
          <w:lang w:bidi="he-IL"/>
        </w:rPr>
        <w:t xml:space="preserve">it </w:t>
      </w:r>
      <w:r w:rsidR="00461104">
        <w:rPr>
          <w:lang w:bidi="he-IL"/>
        </w:rPr>
        <w:t>should be in</w:t>
      </w:r>
      <w:r w:rsidR="00FB1885">
        <w:rPr>
          <w:lang w:bidi="he-IL"/>
        </w:rPr>
        <w:t>ferre</w:t>
      </w:r>
      <w:r w:rsidR="00461104">
        <w:rPr>
          <w:lang w:bidi="he-IL"/>
        </w:rPr>
        <w:t xml:space="preserve">d </w:t>
      </w:r>
      <w:r w:rsidR="00FB1885">
        <w:rPr>
          <w:lang w:bidi="he-IL"/>
        </w:rPr>
        <w:t>from</w:t>
      </w:r>
      <w:r w:rsidR="00461104">
        <w:rPr>
          <w:lang w:bidi="he-IL"/>
        </w:rPr>
        <w:t xml:space="preserve"> the first </w:t>
      </w:r>
      <w:r w:rsidR="00461104">
        <w:rPr>
          <w:rFonts w:hint="cs"/>
          <w:rtl/>
          <w:lang w:bidi="he-IL"/>
        </w:rPr>
        <w:t>דרשה</w:t>
      </w:r>
      <w:r w:rsidR="00461104">
        <w:rPr>
          <w:lang w:bidi="he-IL"/>
        </w:rPr>
        <w:t xml:space="preserve">, and </w:t>
      </w:r>
      <w:r w:rsidR="00461104">
        <w:rPr>
          <w:rFonts w:hint="cs"/>
          <w:rtl/>
          <w:lang w:bidi="he-IL"/>
        </w:rPr>
        <w:t>חייבי לאוין</w:t>
      </w:r>
      <w:r w:rsidR="00461104">
        <w:rPr>
          <w:lang w:bidi="he-IL"/>
        </w:rPr>
        <w:t xml:space="preserve"> </w:t>
      </w:r>
      <w:r w:rsidR="00FB1885">
        <w:rPr>
          <w:lang w:bidi="he-IL"/>
        </w:rPr>
        <w:t>from</w:t>
      </w:r>
      <w:r w:rsidR="00461104">
        <w:rPr>
          <w:lang w:bidi="he-IL"/>
        </w:rPr>
        <w:t xml:space="preserve"> the second </w:t>
      </w:r>
      <w:r w:rsidR="00461104">
        <w:rPr>
          <w:rFonts w:hint="cs"/>
          <w:rtl/>
          <w:lang w:bidi="he-IL"/>
        </w:rPr>
        <w:t>דרשה</w:t>
      </w:r>
      <w:r w:rsidR="00461104">
        <w:rPr>
          <w:lang w:bidi="he-IL"/>
        </w:rPr>
        <w:t>.</w:t>
      </w:r>
      <w:r w:rsidR="00461104">
        <w:rPr>
          <w:rStyle w:val="FootnoteReference"/>
          <w:lang w:bidi="he-IL"/>
        </w:rPr>
        <w:footnoteReference w:id="4"/>
      </w:r>
      <w:r w:rsidR="00461104">
        <w:rPr>
          <w:lang w:bidi="he-IL"/>
        </w:rPr>
        <w:t xml:space="preserve"> </w:t>
      </w:r>
      <w:r w:rsidR="00010444">
        <w:rPr>
          <w:lang w:bidi="he-IL"/>
        </w:rPr>
        <w:t xml:space="preserve">There would seem to be no </w:t>
      </w:r>
      <w:r w:rsidR="00010444">
        <w:rPr>
          <w:rFonts w:hint="cs"/>
          <w:rtl/>
          <w:lang w:bidi="he-IL"/>
        </w:rPr>
        <w:t>דרשה</w:t>
      </w:r>
      <w:r w:rsidR="00010444">
        <w:rPr>
          <w:lang w:bidi="he-IL"/>
        </w:rPr>
        <w:t xml:space="preserve"> remaining for </w:t>
      </w:r>
      <w:r w:rsidR="00010444">
        <w:rPr>
          <w:rFonts w:hint="cs"/>
          <w:rtl/>
          <w:lang w:bidi="he-IL"/>
        </w:rPr>
        <w:t>חייבי כריתות</w:t>
      </w:r>
      <w:r w:rsidR="00010444">
        <w:rPr>
          <w:lang w:bidi="he-IL"/>
        </w:rPr>
        <w:t xml:space="preserve"> (which is the most severe of the prohibitions).</w:t>
      </w:r>
    </w:p>
    <w:p w:rsidR="00DE21DD" w:rsidRDefault="00953446" w:rsidP="00953446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435034" w:rsidRDefault="00435034" w:rsidP="00435034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has a difficulty</w:t>
      </w:r>
    </w:p>
    <w:p w:rsidR="00DE21DD" w:rsidRPr="00DE21DD" w:rsidRDefault="00116DD6" w:rsidP="00DE21DD">
      <w:pPr>
        <w:bidi/>
        <w:jc w:val="both"/>
        <w:rPr>
          <w:rFonts w:cs="Aharoni" w:hint="cs"/>
          <w:rtl/>
          <w:lang w:bidi="he-IL"/>
        </w:rPr>
      </w:pPr>
      <w:r w:rsidRPr="00DE21DD">
        <w:rPr>
          <w:rFonts w:cs="Aharoni" w:hint="cs"/>
          <w:rtl/>
        </w:rPr>
        <w:t>הקשה ר</w:t>
      </w:r>
      <w:r w:rsidR="00DE21DD" w:rsidRPr="00DE21DD">
        <w:rPr>
          <w:rFonts w:cs="Aharoni" w:hint="cs"/>
          <w:rtl/>
          <w:lang w:bidi="he-IL"/>
        </w:rPr>
        <w:t xml:space="preserve">בינו </w:t>
      </w:r>
      <w:r w:rsidRPr="00DE21DD">
        <w:rPr>
          <w:rFonts w:cs="Aharoni" w:hint="cs"/>
          <w:rtl/>
        </w:rPr>
        <w:t>י</w:t>
      </w:r>
      <w:r w:rsidR="00DE21DD" w:rsidRPr="00DE21DD">
        <w:rPr>
          <w:rFonts w:cs="Aharoni" w:hint="cs"/>
          <w:rtl/>
          <w:lang w:bidi="he-IL"/>
        </w:rPr>
        <w:t>צחק</w:t>
      </w:r>
      <w:r w:rsidRPr="00DE21DD">
        <w:rPr>
          <w:rFonts w:cs="Aharoni" w:hint="cs"/>
          <w:rtl/>
        </w:rPr>
        <w:t xml:space="preserve"> בן רבינו מאיר אכתי נימא חד לאתויי חייבי עשה וחד לאתויי חייבי לאוין</w:t>
      </w:r>
      <w:r w:rsidR="00DE21DD" w:rsidRPr="00DE21DD">
        <w:rPr>
          <w:rFonts w:cs="Aharoni" w:hint="cs"/>
          <w:rtl/>
          <w:lang w:bidi="he-IL"/>
        </w:rPr>
        <w:t xml:space="preserve"> </w:t>
      </w:r>
      <w:r w:rsidR="00DE21DD">
        <w:rPr>
          <w:rFonts w:cs="Aharoni" w:hint="cs"/>
          <w:rtl/>
          <w:lang w:bidi="he-IL"/>
        </w:rPr>
        <w:t>-</w:t>
      </w:r>
    </w:p>
    <w:p w:rsidR="00DE21DD" w:rsidRPr="00010444" w:rsidRDefault="00435034" w:rsidP="00010444">
      <w:pPr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The </w:t>
      </w:r>
      <w:r>
        <w:rPr>
          <w:rFonts w:hint="cs"/>
          <w:b/>
          <w:bCs/>
          <w:rtl/>
          <w:lang w:bidi="he-IL"/>
        </w:rPr>
        <w:t>ריב"ם</w:t>
      </w:r>
      <w:r>
        <w:rPr>
          <w:b/>
          <w:bCs/>
          <w:lang w:bidi="he-IL"/>
        </w:rPr>
        <w:t xml:space="preserve"> asked; we should still say that one </w:t>
      </w:r>
      <w:r>
        <w:rPr>
          <w:lang w:bidi="he-IL"/>
        </w:rPr>
        <w:t xml:space="preserve">lesson comes </w:t>
      </w:r>
      <w:r>
        <w:rPr>
          <w:b/>
          <w:bCs/>
          <w:lang w:bidi="he-IL"/>
        </w:rPr>
        <w:t xml:space="preserve">to include </w:t>
      </w:r>
      <w:r w:rsidR="00737997">
        <w:rPr>
          <w:lang w:bidi="he-IL"/>
        </w:rPr>
        <w:t xml:space="preserve">those woman </w:t>
      </w:r>
      <w:r w:rsidR="00010444">
        <w:rPr>
          <w:lang w:bidi="he-IL"/>
        </w:rPr>
        <w:t>where</w:t>
      </w:r>
      <w:r w:rsidR="00737997">
        <w:rPr>
          <w:lang w:bidi="he-IL"/>
        </w:rPr>
        <w:t xml:space="preserve"> the </w:t>
      </w:r>
      <w:r w:rsidR="00737997">
        <w:rPr>
          <w:rFonts w:hint="cs"/>
          <w:rtl/>
          <w:lang w:bidi="he-IL"/>
        </w:rPr>
        <w:t>מאנס</w:t>
      </w:r>
      <w:r w:rsidR="00737997">
        <w:rPr>
          <w:lang w:bidi="he-IL"/>
        </w:rPr>
        <w:t xml:space="preserve"> </w:t>
      </w:r>
      <w:r w:rsidR="00737997">
        <w:rPr>
          <w:b/>
          <w:bCs/>
          <w:lang w:bidi="he-IL"/>
        </w:rPr>
        <w:t xml:space="preserve">transgresses a positive </w:t>
      </w:r>
      <w:r w:rsidR="00737997">
        <w:rPr>
          <w:lang w:bidi="he-IL"/>
        </w:rPr>
        <w:t>commandment (</w:t>
      </w:r>
      <w:r w:rsidR="00BD691A">
        <w:rPr>
          <w:lang w:bidi="he-IL"/>
        </w:rPr>
        <w:t>i</w:t>
      </w:r>
      <w:r w:rsidR="00737997">
        <w:rPr>
          <w:lang w:bidi="he-IL"/>
        </w:rPr>
        <w:t xml:space="preserve">f he has relations with her) </w:t>
      </w:r>
      <w:r w:rsidR="00737997">
        <w:rPr>
          <w:b/>
          <w:bCs/>
          <w:lang w:bidi="he-IL"/>
        </w:rPr>
        <w:t xml:space="preserve">and one </w:t>
      </w:r>
      <w:r w:rsidR="00737997">
        <w:rPr>
          <w:lang w:bidi="he-IL"/>
        </w:rPr>
        <w:t xml:space="preserve">lesson comes </w:t>
      </w:r>
      <w:r w:rsidR="00737997">
        <w:rPr>
          <w:b/>
          <w:bCs/>
          <w:lang w:bidi="he-IL"/>
        </w:rPr>
        <w:t xml:space="preserve">to include </w:t>
      </w:r>
      <w:r w:rsidR="00737997">
        <w:rPr>
          <w:lang w:bidi="he-IL"/>
        </w:rPr>
        <w:t xml:space="preserve">those women </w:t>
      </w:r>
      <w:r w:rsidR="00010444">
        <w:rPr>
          <w:lang w:bidi="he-IL"/>
        </w:rPr>
        <w:t>where</w:t>
      </w:r>
      <w:r w:rsidR="00737997">
        <w:rPr>
          <w:lang w:bidi="he-IL"/>
        </w:rPr>
        <w:t xml:space="preserve"> the </w:t>
      </w:r>
      <w:r w:rsidR="00737997">
        <w:rPr>
          <w:rFonts w:hint="cs"/>
          <w:rtl/>
          <w:lang w:bidi="he-IL"/>
        </w:rPr>
        <w:t>מאנס</w:t>
      </w:r>
      <w:r w:rsidR="00737997">
        <w:rPr>
          <w:lang w:bidi="he-IL"/>
        </w:rPr>
        <w:t xml:space="preserve"> </w:t>
      </w:r>
      <w:r w:rsidR="00737997">
        <w:rPr>
          <w:b/>
          <w:bCs/>
          <w:lang w:bidi="he-IL"/>
        </w:rPr>
        <w:t xml:space="preserve">transgresses a prohibitive </w:t>
      </w:r>
      <w:r w:rsidR="00737997" w:rsidRPr="00010444">
        <w:rPr>
          <w:sz w:val="24"/>
          <w:szCs w:val="24"/>
          <w:lang w:bidi="he-IL"/>
        </w:rPr>
        <w:t>commandment (</w:t>
      </w:r>
      <w:r w:rsidR="00953446">
        <w:rPr>
          <w:sz w:val="24"/>
          <w:szCs w:val="24"/>
          <w:lang w:bidi="he-IL"/>
        </w:rPr>
        <w:t>i</w:t>
      </w:r>
      <w:r w:rsidR="00737997" w:rsidRPr="00010444">
        <w:rPr>
          <w:sz w:val="24"/>
          <w:szCs w:val="24"/>
          <w:lang w:bidi="he-IL"/>
        </w:rPr>
        <w:t>f he has relations with her) -</w:t>
      </w:r>
    </w:p>
    <w:p w:rsidR="00DE21DD" w:rsidRDefault="00116DD6" w:rsidP="00DE21DD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 xml:space="preserve">ואכתי חייבי כריתות מנא לן </w:t>
      </w:r>
      <w:r w:rsidR="00DE21DD">
        <w:rPr>
          <w:rFonts w:cs="Aharoni"/>
          <w:rtl/>
          <w:lang w:bidi="he-IL"/>
        </w:rPr>
        <w:t>–</w:t>
      </w:r>
    </w:p>
    <w:p w:rsidR="00737997" w:rsidRPr="00010444" w:rsidRDefault="00737997" w:rsidP="00E4144C">
      <w:pPr>
        <w:jc w:val="both"/>
        <w:rPr>
          <w:rFonts w:hint="cs"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we still cannot derive </w:t>
      </w:r>
      <w:r>
        <w:rPr>
          <w:rFonts w:cs="Aharoni"/>
          <w:lang w:bidi="he-IL"/>
        </w:rPr>
        <w:t xml:space="preserve">that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has to be paid</w:t>
      </w:r>
      <w:r w:rsidR="00BD691A">
        <w:rPr>
          <w:lang w:bidi="he-IL"/>
        </w:rPr>
        <w:t xml:space="preserve"> if one was </w:t>
      </w:r>
      <w:r w:rsidR="00BD691A">
        <w:rPr>
          <w:rFonts w:hint="cs"/>
          <w:rtl/>
          <w:lang w:bidi="he-IL"/>
        </w:rPr>
        <w:t>מאנס</w:t>
      </w:r>
      <w:r w:rsidR="00BD691A">
        <w:rPr>
          <w:lang w:bidi="he-IL"/>
        </w:rPr>
        <w:t xml:space="preserve"> </w:t>
      </w:r>
      <w:r w:rsidR="00010444">
        <w:rPr>
          <w:lang w:bidi="he-IL"/>
        </w:rPr>
        <w:t>a</w:t>
      </w:r>
      <w:r w:rsidR="00BD691A">
        <w:rPr>
          <w:lang w:bidi="he-IL"/>
        </w:rPr>
        <w:t xml:space="preserve"> woman </w:t>
      </w:r>
      <w:r w:rsidR="00010444">
        <w:rPr>
          <w:lang w:bidi="he-IL"/>
        </w:rPr>
        <w:t>where</w:t>
      </w:r>
      <w:r w:rsidR="00BD691A">
        <w:rPr>
          <w:lang w:bidi="he-IL"/>
        </w:rPr>
        <w:t xml:space="preserve"> he is </w:t>
      </w:r>
      <w:r w:rsidR="00BD691A">
        <w:rPr>
          <w:b/>
          <w:bCs/>
          <w:lang w:bidi="he-IL"/>
        </w:rPr>
        <w:t xml:space="preserve">liable for the </w:t>
      </w:r>
      <w:r w:rsidR="00BD691A">
        <w:rPr>
          <w:rFonts w:hint="cs"/>
          <w:b/>
          <w:bCs/>
          <w:rtl/>
          <w:lang w:bidi="he-IL"/>
        </w:rPr>
        <w:t>כרת</w:t>
      </w:r>
      <w:r w:rsidR="00BD691A">
        <w:rPr>
          <w:b/>
          <w:bCs/>
          <w:lang w:bidi="he-IL"/>
        </w:rPr>
        <w:t xml:space="preserve"> </w:t>
      </w:r>
      <w:r w:rsidR="00BD691A" w:rsidRPr="00010444">
        <w:rPr>
          <w:sz w:val="24"/>
          <w:szCs w:val="24"/>
          <w:lang w:bidi="he-IL"/>
        </w:rPr>
        <w:t xml:space="preserve">punishment </w:t>
      </w:r>
      <w:r w:rsidR="0051786D" w:rsidRPr="00010444">
        <w:rPr>
          <w:sz w:val="24"/>
          <w:szCs w:val="24"/>
          <w:lang w:bidi="he-IL"/>
        </w:rPr>
        <w:t>(</w:t>
      </w:r>
      <w:r w:rsidR="00BD691A" w:rsidRPr="00010444">
        <w:rPr>
          <w:sz w:val="24"/>
          <w:szCs w:val="24"/>
          <w:lang w:bidi="he-IL"/>
        </w:rPr>
        <w:t>if he has relations with her</w:t>
      </w:r>
      <w:r w:rsidR="0051786D" w:rsidRPr="00010444">
        <w:rPr>
          <w:sz w:val="24"/>
          <w:szCs w:val="24"/>
          <w:lang w:bidi="he-IL"/>
        </w:rPr>
        <w:t>)</w:t>
      </w:r>
      <w:r w:rsidR="00BD691A" w:rsidRPr="00010444">
        <w:rPr>
          <w:sz w:val="24"/>
          <w:szCs w:val="24"/>
          <w:lang w:bidi="he-IL"/>
        </w:rPr>
        <w:t>. There are only two lessons</w:t>
      </w:r>
      <w:r w:rsidR="0051786D" w:rsidRPr="00010444">
        <w:rPr>
          <w:sz w:val="24"/>
          <w:szCs w:val="24"/>
          <w:lang w:bidi="he-IL"/>
        </w:rPr>
        <w:t>,</w:t>
      </w:r>
      <w:r w:rsidR="00BD691A" w:rsidRPr="00010444">
        <w:rPr>
          <w:sz w:val="24"/>
          <w:szCs w:val="24"/>
          <w:lang w:bidi="he-IL"/>
        </w:rPr>
        <w:t xml:space="preserve"> which allow us to include two categories of forbidden women. It should be limited to the two </w:t>
      </w:r>
      <w:r w:rsidR="00E4144C" w:rsidRPr="00010444">
        <w:rPr>
          <w:sz w:val="24"/>
          <w:szCs w:val="24"/>
          <w:lang w:bidi="he-IL"/>
        </w:rPr>
        <w:t xml:space="preserve">forbidden </w:t>
      </w:r>
      <w:r w:rsidR="00BD691A" w:rsidRPr="00010444">
        <w:rPr>
          <w:sz w:val="24"/>
          <w:szCs w:val="24"/>
          <w:lang w:bidi="he-IL"/>
        </w:rPr>
        <w:t>categories of women</w:t>
      </w:r>
      <w:r w:rsidR="00E4144C">
        <w:rPr>
          <w:sz w:val="24"/>
          <w:szCs w:val="24"/>
          <w:lang w:bidi="he-IL"/>
        </w:rPr>
        <w:t xml:space="preserve"> with the</w:t>
      </w:r>
      <w:r w:rsidR="00BD691A" w:rsidRPr="00010444">
        <w:rPr>
          <w:sz w:val="24"/>
          <w:szCs w:val="24"/>
          <w:lang w:bidi="he-IL"/>
        </w:rPr>
        <w:t xml:space="preserve"> least</w:t>
      </w:r>
      <w:r w:rsidR="00E4144C">
        <w:rPr>
          <w:sz w:val="24"/>
          <w:szCs w:val="24"/>
          <w:lang w:bidi="he-IL"/>
        </w:rPr>
        <w:t xml:space="preserve"> severe punishments</w:t>
      </w:r>
      <w:r w:rsidR="00BD691A" w:rsidRPr="00010444">
        <w:rPr>
          <w:sz w:val="24"/>
          <w:szCs w:val="24"/>
          <w:lang w:bidi="he-IL"/>
        </w:rPr>
        <w:t xml:space="preserve">, which are </w:t>
      </w:r>
      <w:r w:rsidR="00BD691A" w:rsidRPr="00010444">
        <w:rPr>
          <w:rFonts w:hint="cs"/>
          <w:sz w:val="24"/>
          <w:szCs w:val="24"/>
          <w:rtl/>
          <w:lang w:bidi="he-IL"/>
        </w:rPr>
        <w:t>חייבי עשה</w:t>
      </w:r>
      <w:r w:rsidR="00BD691A" w:rsidRPr="00010444">
        <w:rPr>
          <w:sz w:val="24"/>
          <w:szCs w:val="24"/>
          <w:lang w:bidi="he-IL"/>
        </w:rPr>
        <w:t xml:space="preserve"> and </w:t>
      </w:r>
      <w:r w:rsidR="00BD691A" w:rsidRPr="00010444">
        <w:rPr>
          <w:rFonts w:hint="cs"/>
          <w:sz w:val="24"/>
          <w:szCs w:val="24"/>
          <w:rtl/>
          <w:lang w:bidi="he-IL"/>
        </w:rPr>
        <w:t>חייבי לאוין</w:t>
      </w:r>
      <w:r w:rsidR="00BD691A" w:rsidRPr="00010444">
        <w:rPr>
          <w:sz w:val="24"/>
          <w:szCs w:val="24"/>
          <w:lang w:bidi="he-IL"/>
        </w:rPr>
        <w:t xml:space="preserve">, but not to include </w:t>
      </w:r>
      <w:r w:rsidR="00BD691A" w:rsidRPr="00010444">
        <w:rPr>
          <w:rFonts w:hint="cs"/>
          <w:sz w:val="24"/>
          <w:szCs w:val="24"/>
          <w:rtl/>
          <w:lang w:bidi="he-IL"/>
        </w:rPr>
        <w:t>חייבי כריתות</w:t>
      </w:r>
      <w:r w:rsidR="00BD691A" w:rsidRPr="00010444">
        <w:rPr>
          <w:sz w:val="24"/>
          <w:szCs w:val="24"/>
          <w:lang w:bidi="he-IL"/>
        </w:rPr>
        <w:t>.</w:t>
      </w:r>
    </w:p>
    <w:p w:rsidR="0051786D" w:rsidRPr="00010444" w:rsidRDefault="0051786D" w:rsidP="00BD691A">
      <w:pPr>
        <w:jc w:val="both"/>
        <w:rPr>
          <w:rFonts w:hint="cs"/>
          <w:sz w:val="24"/>
          <w:szCs w:val="24"/>
          <w:rtl/>
          <w:lang w:bidi="he-IL"/>
        </w:rPr>
      </w:pPr>
    </w:p>
    <w:p w:rsidR="0051786D" w:rsidRPr="00010444" w:rsidRDefault="0051786D" w:rsidP="00BD691A">
      <w:pPr>
        <w:jc w:val="both"/>
        <w:rPr>
          <w:sz w:val="24"/>
          <w:szCs w:val="24"/>
          <w:lang w:bidi="he-IL"/>
        </w:rPr>
      </w:pPr>
      <w:r w:rsidRPr="00010444">
        <w:rPr>
          <w:rFonts w:hint="cs"/>
          <w:sz w:val="24"/>
          <w:szCs w:val="24"/>
          <w:rtl/>
          <w:lang w:bidi="he-IL"/>
        </w:rPr>
        <w:t>תוספות</w:t>
      </w:r>
      <w:r w:rsidRPr="00010444">
        <w:rPr>
          <w:sz w:val="24"/>
          <w:szCs w:val="24"/>
          <w:lang w:bidi="he-IL"/>
        </w:rPr>
        <w:t xml:space="preserve"> answers:</w:t>
      </w:r>
    </w:p>
    <w:p w:rsidR="00DE21DD" w:rsidRDefault="00116DD6" w:rsidP="00DE21DD">
      <w:pPr>
        <w:bidi/>
        <w:jc w:val="both"/>
        <w:rPr>
          <w:rFonts w:cs="Aharoni"/>
        </w:rPr>
      </w:pPr>
      <w:r w:rsidRPr="00DE21DD">
        <w:rPr>
          <w:rFonts w:cs="Aharoni" w:hint="cs"/>
          <w:rtl/>
        </w:rPr>
        <w:t>ותירץ דלחייבי לאוין ועשה לא צריך אלא חד קרא</w:t>
      </w:r>
      <w:r w:rsidR="0051786D">
        <w:rPr>
          <w:rFonts w:cs="Aharoni" w:hint="cs"/>
          <w:rtl/>
          <w:lang w:bidi="he-IL"/>
        </w:rPr>
        <w:t xml:space="preserve"> </w:t>
      </w:r>
      <w:r w:rsidR="0051786D">
        <w:rPr>
          <w:rFonts w:cs="Aharoni"/>
          <w:rtl/>
          <w:lang w:bidi="he-IL"/>
        </w:rPr>
        <w:t>–</w:t>
      </w:r>
      <w:r w:rsidRPr="00DE21DD">
        <w:rPr>
          <w:rFonts w:cs="Aharoni" w:hint="cs"/>
          <w:rtl/>
        </w:rPr>
        <w:t xml:space="preserve"> </w:t>
      </w:r>
    </w:p>
    <w:p w:rsidR="0051786D" w:rsidRPr="00FC4087" w:rsidRDefault="0051786D" w:rsidP="0051786D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And </w:t>
      </w:r>
      <w:r>
        <w:rPr>
          <w:rFonts w:cs="Aharoni"/>
        </w:rPr>
        <w:t xml:space="preserve">the </w:t>
      </w:r>
      <w:r>
        <w:rPr>
          <w:rFonts w:hint="cs"/>
          <w:rtl/>
          <w:lang w:bidi="he-IL"/>
        </w:rPr>
        <w:t>ריב"ם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answered, that only one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is required </w:t>
      </w:r>
      <w:r>
        <w:rPr>
          <w:lang w:bidi="he-IL"/>
        </w:rPr>
        <w:t xml:space="preserve">to teach us, that by </w:t>
      </w:r>
      <w:r>
        <w:rPr>
          <w:rFonts w:hint="cs"/>
          <w:b/>
          <w:bCs/>
          <w:rtl/>
          <w:lang w:bidi="he-IL"/>
        </w:rPr>
        <w:t>חייבי לאוין ועשה</w:t>
      </w:r>
      <w:r>
        <w:rPr>
          <w:b/>
          <w:bCs/>
          <w:lang w:bidi="he-IL"/>
        </w:rPr>
        <w:t xml:space="preserve"> </w:t>
      </w:r>
      <w:r w:rsidRPr="00FC4087">
        <w:rPr>
          <w:sz w:val="24"/>
          <w:szCs w:val="24"/>
          <w:lang w:bidi="he-IL"/>
        </w:rPr>
        <w:t xml:space="preserve">there is a </w:t>
      </w:r>
      <w:r w:rsidRPr="00FC4087">
        <w:rPr>
          <w:rFonts w:hint="cs"/>
          <w:sz w:val="24"/>
          <w:szCs w:val="24"/>
          <w:rtl/>
          <w:lang w:bidi="he-IL"/>
        </w:rPr>
        <w:t>חיוב קנס</w:t>
      </w:r>
      <w:r w:rsidRPr="00FC4087">
        <w:rPr>
          <w:sz w:val="24"/>
          <w:szCs w:val="24"/>
          <w:lang w:bidi="he-IL"/>
        </w:rPr>
        <w:t xml:space="preserve">. </w:t>
      </w:r>
      <w:r w:rsidR="000911A7" w:rsidRPr="00FC4087">
        <w:rPr>
          <w:sz w:val="24"/>
          <w:szCs w:val="24"/>
          <w:lang w:bidi="he-IL"/>
        </w:rPr>
        <w:t xml:space="preserve">We do not require two </w:t>
      </w:r>
      <w:r w:rsidR="000911A7" w:rsidRPr="00FC4087">
        <w:rPr>
          <w:rFonts w:hint="cs"/>
          <w:sz w:val="24"/>
          <w:szCs w:val="24"/>
          <w:rtl/>
          <w:lang w:bidi="he-IL"/>
        </w:rPr>
        <w:t>פסוקים</w:t>
      </w:r>
      <w:r w:rsidR="000911A7" w:rsidRPr="00FC4087">
        <w:rPr>
          <w:sz w:val="24"/>
          <w:szCs w:val="24"/>
          <w:lang w:bidi="he-IL"/>
        </w:rPr>
        <w:t xml:space="preserve"> -</w:t>
      </w:r>
    </w:p>
    <w:p w:rsidR="000911A7" w:rsidRDefault="00116DD6" w:rsidP="00DE21DD">
      <w:pPr>
        <w:bidi/>
        <w:jc w:val="both"/>
        <w:rPr>
          <w:rFonts w:cs="Aharoni" w:hint="cs"/>
          <w:rtl/>
          <w:lang w:bidi="he-IL"/>
        </w:rPr>
      </w:pPr>
      <w:r w:rsidRPr="00DE21DD">
        <w:rPr>
          <w:rFonts w:cs="Aharoni" w:hint="cs"/>
          <w:rtl/>
        </w:rPr>
        <w:t>דהא אי לאו דכתיב ולו תהיה לאשה דמשמע שיש בה הויה וראויה לקיימה</w:t>
      </w:r>
      <w:r w:rsidR="000911A7">
        <w:rPr>
          <w:rFonts w:cs="Aharoni" w:hint="cs"/>
          <w:rtl/>
          <w:lang w:bidi="he-IL"/>
        </w:rPr>
        <w:t xml:space="preserve"> </w:t>
      </w:r>
      <w:r w:rsidR="000911A7">
        <w:rPr>
          <w:rFonts w:cs="Aharoni"/>
          <w:rtl/>
          <w:lang w:bidi="he-IL"/>
        </w:rPr>
        <w:t>–</w:t>
      </w:r>
    </w:p>
    <w:p w:rsidR="00DE21DD" w:rsidRPr="00FC4087" w:rsidRDefault="000911A7" w:rsidP="006C2ACE">
      <w:pPr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b/>
          <w:bCs/>
        </w:rPr>
        <w:t xml:space="preserve">For if </w:t>
      </w:r>
      <w:r>
        <w:t xml:space="preserve">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would not have written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ולא תהיה לאשה</w:t>
      </w:r>
      <w:r>
        <w:rPr>
          <w:b/>
          <w:bCs/>
          <w:lang w:bidi="he-IL"/>
        </w:rPr>
        <w:t>,</w:t>
      </w:r>
      <w:r w:rsidR="006C2ACE">
        <w:rPr>
          <w:rStyle w:val="FootnoteReference"/>
          <w:b/>
          <w:bCs/>
          <w:lang w:bidi="he-IL"/>
        </w:rPr>
        <w:footnoteReference w:id="5"/>
      </w:r>
      <w:r>
        <w:rPr>
          <w:b/>
          <w:bCs/>
          <w:lang w:bidi="he-IL"/>
        </w:rPr>
        <w:t xml:space="preserve"> which indicates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</w:t>
      </w:r>
      <w:r w:rsidR="00FC4087">
        <w:rPr>
          <w:lang w:bidi="he-IL"/>
        </w:rPr>
        <w:t>should be able to</w:t>
      </w:r>
      <w:r w:rsidR="005240F9">
        <w:rPr>
          <w:lang w:bidi="he-IL"/>
        </w:rPr>
        <w:t xml:space="preserve"> (a)</w:t>
      </w:r>
      <w:r>
        <w:rPr>
          <w:b/>
          <w:bCs/>
          <w:lang w:bidi="he-IL"/>
        </w:rPr>
        <w:t xml:space="preserve"> create a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relationship </w:t>
      </w:r>
      <w:r w:rsidR="00FC4087">
        <w:rPr>
          <w:lang w:bidi="he-IL"/>
        </w:rPr>
        <w:lastRenderedPageBreak/>
        <w:t>with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אנוסה</w:t>
      </w:r>
      <w:r w:rsidR="00FC4087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 w:rsidR="005240F9" w:rsidRPr="005240F9">
        <w:rPr>
          <w:lang w:bidi="he-IL"/>
        </w:rPr>
        <w:t>(b)</w:t>
      </w:r>
      <w:r w:rsidR="005240F9">
        <w:rPr>
          <w:b/>
          <w:bCs/>
          <w:lang w:bidi="he-IL"/>
        </w:rPr>
        <w:t xml:space="preserve"> </w:t>
      </w:r>
      <w:r w:rsidR="006C2ACE">
        <w:rPr>
          <w:lang w:bidi="he-IL"/>
        </w:rPr>
        <w:t xml:space="preserve">that </w:t>
      </w:r>
      <w:r>
        <w:rPr>
          <w:b/>
          <w:bCs/>
          <w:lang w:bidi="he-IL"/>
        </w:rPr>
        <w:t xml:space="preserve">she </w:t>
      </w:r>
      <w:r w:rsidR="006C2ACE">
        <w:rPr>
          <w:b/>
          <w:bCs/>
          <w:lang w:bidi="he-IL"/>
        </w:rPr>
        <w:t>should be</w:t>
      </w:r>
      <w:r>
        <w:rPr>
          <w:b/>
          <w:bCs/>
          <w:lang w:bidi="he-IL"/>
        </w:rPr>
        <w:t xml:space="preserve"> fit to be kept </w:t>
      </w:r>
      <w:r w:rsidRPr="00FC4087">
        <w:rPr>
          <w:sz w:val="24"/>
          <w:szCs w:val="24"/>
          <w:lang w:bidi="he-IL"/>
        </w:rPr>
        <w:t>as a wife</w:t>
      </w:r>
      <w:r w:rsidR="00CB543B" w:rsidRPr="00FC4087">
        <w:rPr>
          <w:rStyle w:val="FootnoteReference"/>
          <w:sz w:val="24"/>
          <w:szCs w:val="24"/>
          <w:lang w:bidi="he-IL"/>
        </w:rPr>
        <w:footnoteReference w:id="6"/>
      </w:r>
      <w:r w:rsidRPr="00FC4087">
        <w:rPr>
          <w:sz w:val="24"/>
          <w:szCs w:val="24"/>
          <w:lang w:bidi="he-IL"/>
        </w:rPr>
        <w:t xml:space="preserve">; were it not for this </w:t>
      </w:r>
      <w:r w:rsidRPr="00FC4087">
        <w:rPr>
          <w:rFonts w:hint="cs"/>
          <w:sz w:val="24"/>
          <w:szCs w:val="24"/>
          <w:rtl/>
          <w:lang w:bidi="he-IL"/>
        </w:rPr>
        <w:t>פסוק</w:t>
      </w:r>
      <w:r w:rsidRPr="00FC4087">
        <w:rPr>
          <w:sz w:val="24"/>
          <w:szCs w:val="24"/>
          <w:lang w:bidi="he-IL"/>
        </w:rPr>
        <w:t xml:space="preserve">, then - </w:t>
      </w:r>
      <w:r w:rsidR="00116DD6" w:rsidRPr="00FC4087">
        <w:rPr>
          <w:rFonts w:cs="Aharoni" w:hint="cs"/>
          <w:sz w:val="24"/>
          <w:szCs w:val="24"/>
          <w:rtl/>
        </w:rPr>
        <w:t xml:space="preserve"> </w:t>
      </w:r>
    </w:p>
    <w:p w:rsidR="00DE21DD" w:rsidRDefault="00116DD6" w:rsidP="00DE21DD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 xml:space="preserve">לא הוה צריך קרא לרבויינהו הלכך מחד ריבויא מרבינן אין ראויה לקיימה </w:t>
      </w:r>
      <w:r w:rsidR="00DE21DD">
        <w:rPr>
          <w:rFonts w:cs="Aharoni"/>
          <w:rtl/>
          <w:lang w:bidi="he-IL"/>
        </w:rPr>
        <w:t>–</w:t>
      </w:r>
    </w:p>
    <w:p w:rsidR="000911A7" w:rsidRPr="00FC4087" w:rsidRDefault="000911A7" w:rsidP="005240F9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No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would be required to include the</w:t>
      </w:r>
      <w:r w:rsidR="002543D5">
        <w:rPr>
          <w:b/>
          <w:bCs/>
          <w:lang w:bidi="he-IL"/>
        </w:rPr>
        <w:t xml:space="preserve">se </w:t>
      </w:r>
      <w:r w:rsidR="002543D5">
        <w:rPr>
          <w:lang w:bidi="he-IL"/>
        </w:rPr>
        <w:t>forbidden women</w:t>
      </w:r>
      <w:r w:rsidR="00315768">
        <w:rPr>
          <w:b/>
          <w:bCs/>
          <w:lang w:bidi="he-IL"/>
        </w:rPr>
        <w:t xml:space="preserve">; </w:t>
      </w:r>
      <w:r w:rsidR="00315768">
        <w:rPr>
          <w:lang w:bidi="he-IL"/>
        </w:rPr>
        <w:t xml:space="preserve">they would be </w:t>
      </w:r>
      <w:r w:rsidR="008E3530">
        <w:rPr>
          <w:lang w:bidi="he-IL"/>
        </w:rPr>
        <w:t xml:space="preserve">naturally </w:t>
      </w:r>
      <w:r w:rsidR="00315768">
        <w:rPr>
          <w:lang w:bidi="he-IL"/>
        </w:rPr>
        <w:t>included</w:t>
      </w:r>
      <w:r w:rsidR="005240F9">
        <w:rPr>
          <w:lang w:bidi="he-IL"/>
        </w:rPr>
        <w:t xml:space="preserve">. Now however that this </w:t>
      </w:r>
      <w:r w:rsidR="005240F9">
        <w:rPr>
          <w:rFonts w:hint="cs"/>
          <w:rtl/>
          <w:lang w:bidi="he-IL"/>
        </w:rPr>
        <w:t>פסוק</w:t>
      </w:r>
      <w:r w:rsidR="005240F9">
        <w:rPr>
          <w:lang w:bidi="he-IL"/>
        </w:rPr>
        <w:t xml:space="preserve"> with its implied two restrictions is written, we require other </w:t>
      </w:r>
      <w:r w:rsidR="005240F9">
        <w:rPr>
          <w:rFonts w:hint="cs"/>
          <w:rtl/>
          <w:lang w:bidi="he-IL"/>
        </w:rPr>
        <w:t>פסוקים</w:t>
      </w:r>
      <w:r w:rsidR="005240F9">
        <w:rPr>
          <w:lang w:bidi="he-IL"/>
        </w:rPr>
        <w:t xml:space="preserve"> to remove these two restrictions.</w:t>
      </w:r>
      <w:r w:rsidR="00315768">
        <w:rPr>
          <w:lang w:bidi="he-IL"/>
        </w:rPr>
        <w:t xml:space="preserve"> </w:t>
      </w:r>
      <w:r w:rsidR="005240F9">
        <w:rPr>
          <w:lang w:bidi="he-IL"/>
        </w:rPr>
        <w:t>T</w:t>
      </w:r>
      <w:r w:rsidR="00315768">
        <w:rPr>
          <w:b/>
          <w:bCs/>
          <w:lang w:bidi="he-IL"/>
        </w:rPr>
        <w:t>herefore</w:t>
      </w:r>
      <w:r w:rsidR="002543D5">
        <w:rPr>
          <w:b/>
          <w:bCs/>
          <w:lang w:bidi="he-IL"/>
        </w:rPr>
        <w:t>,</w:t>
      </w:r>
      <w:r w:rsidR="00315768">
        <w:rPr>
          <w:b/>
          <w:bCs/>
          <w:lang w:bidi="he-IL"/>
        </w:rPr>
        <w:t xml:space="preserve"> through one inclusion we can include </w:t>
      </w:r>
      <w:r w:rsidR="00315768">
        <w:rPr>
          <w:lang w:bidi="he-IL"/>
        </w:rPr>
        <w:t xml:space="preserve">a woman who </w:t>
      </w:r>
      <w:r w:rsidR="00315768">
        <w:rPr>
          <w:b/>
          <w:bCs/>
          <w:lang w:bidi="he-IL"/>
        </w:rPr>
        <w:t xml:space="preserve">is not fit to be kept </w:t>
      </w:r>
      <w:r w:rsidR="00315768" w:rsidRPr="00FC4087">
        <w:rPr>
          <w:sz w:val="24"/>
          <w:szCs w:val="24"/>
          <w:lang w:bidi="he-IL"/>
        </w:rPr>
        <w:t>as a wife -</w:t>
      </w:r>
      <w:r w:rsidR="00315768" w:rsidRPr="00FC4087">
        <w:rPr>
          <w:b/>
          <w:bCs/>
          <w:sz w:val="24"/>
          <w:szCs w:val="24"/>
          <w:lang w:bidi="he-IL"/>
        </w:rPr>
        <w:t xml:space="preserve"> </w:t>
      </w:r>
      <w:r w:rsidR="00315768" w:rsidRPr="00FC4087">
        <w:rPr>
          <w:sz w:val="24"/>
          <w:szCs w:val="24"/>
          <w:lang w:bidi="he-IL"/>
        </w:rPr>
        <w:t xml:space="preserve"> </w:t>
      </w:r>
    </w:p>
    <w:p w:rsidR="00DE21DD" w:rsidRDefault="00116DD6" w:rsidP="00DE21DD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 xml:space="preserve">דהיינו חייבי עשה וחייבי לאוין כיון דאית בהו הויה </w:t>
      </w:r>
      <w:r w:rsidR="00DE21DD">
        <w:rPr>
          <w:rFonts w:cs="Aharoni"/>
          <w:rtl/>
          <w:lang w:bidi="he-IL"/>
        </w:rPr>
        <w:t>–</w:t>
      </w:r>
    </w:p>
    <w:p w:rsidR="00315768" w:rsidRPr="00FC4087" w:rsidRDefault="00B8040D" w:rsidP="00315768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w</w:t>
      </w:r>
      <w:r w:rsidR="00315768" w:rsidRPr="00315768">
        <w:rPr>
          <w:rFonts w:cs="Aharoni"/>
          <w:b/>
          <w:bCs/>
          <w:lang w:bidi="he-IL"/>
        </w:rPr>
        <w:t>hich</w:t>
      </w:r>
      <w:r w:rsidR="00315768">
        <w:rPr>
          <w:rFonts w:cs="Aharoni"/>
          <w:b/>
          <w:bCs/>
          <w:lang w:bidi="he-IL"/>
        </w:rPr>
        <w:t xml:space="preserve"> refers to </w:t>
      </w:r>
      <w:r w:rsidR="00315768">
        <w:rPr>
          <w:rFonts w:hint="cs"/>
          <w:b/>
          <w:bCs/>
          <w:rtl/>
          <w:lang w:bidi="he-IL"/>
        </w:rPr>
        <w:t>חייבי עשה</w:t>
      </w:r>
      <w:r w:rsidR="00315768">
        <w:rPr>
          <w:b/>
          <w:bCs/>
          <w:lang w:bidi="he-IL"/>
        </w:rPr>
        <w:t xml:space="preserve"> and </w:t>
      </w:r>
      <w:r w:rsidR="00315768">
        <w:rPr>
          <w:rFonts w:hint="cs"/>
          <w:b/>
          <w:bCs/>
          <w:rtl/>
          <w:lang w:bidi="he-IL"/>
        </w:rPr>
        <w:t>חייבי לאוין</w:t>
      </w:r>
      <w:r w:rsidR="005240F9">
        <w:rPr>
          <w:lang w:bidi="he-IL"/>
        </w:rPr>
        <w:t xml:space="preserve"> (who are </w:t>
      </w:r>
      <w:r w:rsidR="005240F9">
        <w:rPr>
          <w:rFonts w:hint="cs"/>
          <w:rtl/>
          <w:lang w:bidi="he-IL"/>
        </w:rPr>
        <w:t>אין ראויין לקיימה</w:t>
      </w:r>
      <w:r w:rsidR="005240F9">
        <w:rPr>
          <w:lang w:bidi="he-IL"/>
        </w:rPr>
        <w:t>)</w:t>
      </w:r>
      <w:r w:rsidR="00CA1200">
        <w:rPr>
          <w:b/>
          <w:bCs/>
          <w:lang w:bidi="he-IL"/>
        </w:rPr>
        <w:t xml:space="preserve">; </w:t>
      </w:r>
      <w:r w:rsidR="00CA1200">
        <w:rPr>
          <w:lang w:bidi="he-IL"/>
        </w:rPr>
        <w:t>who are in the same category,</w:t>
      </w:r>
      <w:r w:rsidR="00315768">
        <w:rPr>
          <w:b/>
          <w:bCs/>
          <w:lang w:bidi="he-IL"/>
        </w:rPr>
        <w:t xml:space="preserve"> since they can be</w:t>
      </w:r>
      <w:r w:rsidR="002771F9">
        <w:rPr>
          <w:b/>
          <w:bCs/>
          <w:lang w:bidi="he-IL"/>
        </w:rPr>
        <w:t>come</w:t>
      </w:r>
      <w:r w:rsidR="00315768">
        <w:rPr>
          <w:b/>
          <w:bCs/>
          <w:lang w:bidi="he-IL"/>
        </w:rPr>
        <w:t xml:space="preserve"> effectively </w:t>
      </w:r>
      <w:r w:rsidR="00315768">
        <w:rPr>
          <w:rFonts w:hint="cs"/>
          <w:b/>
          <w:bCs/>
          <w:rtl/>
          <w:lang w:bidi="he-IL"/>
        </w:rPr>
        <w:t>מקודש</w:t>
      </w:r>
      <w:r w:rsidR="002771F9">
        <w:rPr>
          <w:rFonts w:hint="cs"/>
          <w:b/>
          <w:bCs/>
          <w:rtl/>
          <w:lang w:bidi="he-IL"/>
        </w:rPr>
        <w:t>ו</w:t>
      </w:r>
      <w:r w:rsidR="00315768">
        <w:rPr>
          <w:rFonts w:hint="cs"/>
          <w:b/>
          <w:bCs/>
          <w:rtl/>
          <w:lang w:bidi="he-IL"/>
        </w:rPr>
        <w:t>ת</w:t>
      </w:r>
      <w:r w:rsidR="00CA1200">
        <w:rPr>
          <w:rStyle w:val="FootnoteReference"/>
          <w:b/>
          <w:bCs/>
          <w:rtl/>
          <w:lang w:bidi="he-IL"/>
        </w:rPr>
        <w:footnoteReference w:id="7"/>
      </w:r>
      <w:r w:rsidR="00315768">
        <w:rPr>
          <w:b/>
          <w:bCs/>
          <w:lang w:bidi="he-IL"/>
        </w:rPr>
        <w:t xml:space="preserve"> </w:t>
      </w:r>
      <w:r w:rsidR="00FC4087" w:rsidRPr="00FC4087">
        <w:rPr>
          <w:sz w:val="24"/>
          <w:szCs w:val="24"/>
          <w:lang w:bidi="he-IL"/>
        </w:rPr>
        <w:t xml:space="preserve">(even if they are </w:t>
      </w:r>
      <w:r w:rsidR="00FC4087" w:rsidRPr="00FC4087">
        <w:rPr>
          <w:rFonts w:hint="cs"/>
          <w:sz w:val="24"/>
          <w:szCs w:val="24"/>
          <w:rtl/>
          <w:lang w:bidi="he-IL"/>
        </w:rPr>
        <w:t>אין ראויה לקיימה</w:t>
      </w:r>
      <w:r w:rsidR="00FC4087" w:rsidRPr="00FC4087">
        <w:rPr>
          <w:sz w:val="24"/>
          <w:szCs w:val="24"/>
          <w:lang w:bidi="he-IL"/>
        </w:rPr>
        <w:t>)</w:t>
      </w:r>
      <w:r w:rsidR="002543D5">
        <w:rPr>
          <w:rStyle w:val="FootnoteReference"/>
          <w:sz w:val="24"/>
          <w:szCs w:val="24"/>
          <w:lang w:bidi="he-IL"/>
        </w:rPr>
        <w:footnoteReference w:id="8"/>
      </w:r>
      <w:r w:rsidR="002543D5">
        <w:rPr>
          <w:sz w:val="24"/>
          <w:szCs w:val="24"/>
          <w:lang w:bidi="he-IL"/>
        </w:rPr>
        <w:t xml:space="preserve"> </w:t>
      </w:r>
      <w:r w:rsidR="00315768" w:rsidRPr="00FC4087">
        <w:rPr>
          <w:b/>
          <w:bCs/>
          <w:sz w:val="24"/>
          <w:szCs w:val="24"/>
          <w:lang w:bidi="he-IL"/>
        </w:rPr>
        <w:t xml:space="preserve">- </w:t>
      </w:r>
    </w:p>
    <w:p w:rsidR="00DE21DD" w:rsidRDefault="00116DD6" w:rsidP="00DE21DD">
      <w:pPr>
        <w:bidi/>
        <w:jc w:val="both"/>
        <w:rPr>
          <w:rFonts w:cs="Aharoni" w:hint="cs"/>
          <w:rtl/>
          <w:lang w:bidi="he-IL"/>
        </w:rPr>
      </w:pPr>
      <w:r w:rsidRPr="00DE21DD">
        <w:rPr>
          <w:rFonts w:cs="Aharoni" w:hint="cs"/>
          <w:rtl/>
        </w:rPr>
        <w:t xml:space="preserve">ואידך ריבויא לחייבי כריתות </w:t>
      </w:r>
      <w:r w:rsidR="00DE21DD">
        <w:rPr>
          <w:rFonts w:cs="Aharoni"/>
          <w:rtl/>
          <w:lang w:bidi="he-IL"/>
        </w:rPr>
        <w:t>–</w:t>
      </w:r>
    </w:p>
    <w:p w:rsidR="00B8040D" w:rsidRPr="00FC4087" w:rsidRDefault="002771F9" w:rsidP="00B8040D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the other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comes to include that there is a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by </w:t>
      </w:r>
      <w:r>
        <w:rPr>
          <w:rFonts w:hint="cs"/>
          <w:b/>
          <w:bCs/>
          <w:rtl/>
          <w:lang w:bidi="he-IL"/>
        </w:rPr>
        <w:t>חייבי כריתות</w:t>
      </w:r>
      <w:r>
        <w:rPr>
          <w:b/>
          <w:bCs/>
          <w:lang w:bidi="he-IL"/>
        </w:rPr>
        <w:t xml:space="preserve"> </w:t>
      </w:r>
      <w:r w:rsidRPr="00FC4087">
        <w:rPr>
          <w:sz w:val="24"/>
          <w:szCs w:val="24"/>
          <w:lang w:bidi="he-IL"/>
        </w:rPr>
        <w:t>as well</w:t>
      </w:r>
      <w:r w:rsidR="00B8040D" w:rsidRPr="00FC4087">
        <w:rPr>
          <w:sz w:val="24"/>
          <w:szCs w:val="24"/>
          <w:lang w:bidi="he-IL"/>
        </w:rPr>
        <w:t>, even though there cannot</w:t>
      </w:r>
      <w:r w:rsidR="00FC4087" w:rsidRPr="00FC4087">
        <w:rPr>
          <w:sz w:val="24"/>
          <w:szCs w:val="24"/>
          <w:lang w:bidi="he-IL"/>
        </w:rPr>
        <w:t xml:space="preserve"> (even)</w:t>
      </w:r>
      <w:r w:rsidR="00B8040D" w:rsidRPr="00FC4087">
        <w:rPr>
          <w:sz w:val="24"/>
          <w:szCs w:val="24"/>
          <w:lang w:bidi="he-IL"/>
        </w:rPr>
        <w:t xml:space="preserve"> be effective </w:t>
      </w:r>
      <w:r w:rsidR="00B8040D" w:rsidRPr="00FC4087">
        <w:rPr>
          <w:rFonts w:hint="cs"/>
          <w:sz w:val="24"/>
          <w:szCs w:val="24"/>
          <w:rtl/>
          <w:lang w:bidi="he-IL"/>
        </w:rPr>
        <w:t>קדושין</w:t>
      </w:r>
      <w:r w:rsidR="00B8040D" w:rsidRPr="00FC4087">
        <w:rPr>
          <w:sz w:val="24"/>
          <w:szCs w:val="24"/>
          <w:lang w:bidi="he-IL"/>
        </w:rPr>
        <w:t xml:space="preserve"> by </w:t>
      </w:r>
      <w:r w:rsidR="00B8040D" w:rsidRPr="00FC4087">
        <w:rPr>
          <w:rFonts w:hint="cs"/>
          <w:sz w:val="24"/>
          <w:szCs w:val="24"/>
          <w:rtl/>
          <w:lang w:bidi="he-IL"/>
        </w:rPr>
        <w:t>חייבי כריתות</w:t>
      </w:r>
      <w:r w:rsidR="00B8040D" w:rsidRPr="00FC4087">
        <w:rPr>
          <w:sz w:val="24"/>
          <w:szCs w:val="24"/>
          <w:lang w:bidi="he-IL"/>
        </w:rPr>
        <w:t>.</w:t>
      </w:r>
    </w:p>
    <w:p w:rsidR="00B8040D" w:rsidRPr="00FC4087" w:rsidRDefault="00B8040D" w:rsidP="00B8040D">
      <w:pPr>
        <w:jc w:val="both"/>
        <w:rPr>
          <w:sz w:val="24"/>
          <w:szCs w:val="24"/>
          <w:lang w:bidi="he-IL"/>
        </w:rPr>
      </w:pPr>
    </w:p>
    <w:p w:rsidR="002771F9" w:rsidRPr="00FC4087" w:rsidRDefault="002771F9" w:rsidP="00B8040D">
      <w:pPr>
        <w:jc w:val="both"/>
        <w:rPr>
          <w:sz w:val="24"/>
          <w:szCs w:val="24"/>
          <w:lang w:bidi="he-IL"/>
        </w:rPr>
      </w:pPr>
      <w:r w:rsidRPr="00FC4087">
        <w:rPr>
          <w:sz w:val="24"/>
          <w:szCs w:val="24"/>
          <w:lang w:bidi="he-IL"/>
        </w:rPr>
        <w:t xml:space="preserve"> </w:t>
      </w:r>
      <w:r w:rsidR="00C3742D" w:rsidRPr="00FC4087">
        <w:rPr>
          <w:rFonts w:hint="cs"/>
          <w:sz w:val="24"/>
          <w:szCs w:val="24"/>
          <w:rtl/>
          <w:lang w:bidi="he-IL"/>
        </w:rPr>
        <w:t>תוספות</w:t>
      </w:r>
      <w:r w:rsidR="00226B96">
        <w:rPr>
          <w:sz w:val="24"/>
          <w:szCs w:val="24"/>
          <w:lang w:bidi="he-IL"/>
        </w:rPr>
        <w:t xml:space="preserve"> anticipate</w:t>
      </w:r>
      <w:r w:rsidR="00C3742D" w:rsidRPr="00FC4087">
        <w:rPr>
          <w:sz w:val="24"/>
          <w:szCs w:val="24"/>
          <w:lang w:bidi="he-IL"/>
        </w:rPr>
        <w:t>s</w:t>
      </w:r>
      <w:r w:rsidR="00226B96">
        <w:rPr>
          <w:sz w:val="24"/>
          <w:szCs w:val="24"/>
          <w:lang w:bidi="he-IL"/>
        </w:rPr>
        <w:t xml:space="preserve"> a (slight) difficulty and resolves it</w:t>
      </w:r>
      <w:r w:rsidR="00C3742D" w:rsidRPr="00FC4087">
        <w:rPr>
          <w:sz w:val="24"/>
          <w:szCs w:val="24"/>
          <w:lang w:bidi="he-IL"/>
        </w:rPr>
        <w:t>:</w:t>
      </w:r>
    </w:p>
    <w:p w:rsidR="00435034" w:rsidRDefault="00116DD6" w:rsidP="00DE21DD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 xml:space="preserve">ולמאן דאמר אין קדושין תופסין בחייבי לאוין הוי חד ריבויא לחייבי עשה </w:t>
      </w:r>
      <w:r w:rsidR="00435034">
        <w:rPr>
          <w:rFonts w:cs="Aharoni"/>
          <w:rtl/>
          <w:lang w:bidi="he-IL"/>
        </w:rPr>
        <w:t>–</w:t>
      </w:r>
    </w:p>
    <w:p w:rsidR="00C3742D" w:rsidRPr="000A1111" w:rsidRDefault="00C3742D" w:rsidP="00226B96">
      <w:pPr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according to the one who maintains that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are not effective by </w:t>
      </w:r>
      <w:r>
        <w:rPr>
          <w:rFonts w:hint="cs"/>
          <w:b/>
          <w:bCs/>
          <w:rtl/>
          <w:lang w:bidi="he-IL"/>
        </w:rPr>
        <w:t>חייבי לאוין</w:t>
      </w:r>
      <w:r>
        <w:rPr>
          <w:rStyle w:val="FootnoteReference"/>
          <w:b/>
          <w:bCs/>
          <w:rtl/>
          <w:lang w:bidi="he-IL"/>
        </w:rPr>
        <w:footnoteReference w:id="9"/>
      </w:r>
      <w:r w:rsidR="006907E2">
        <w:rPr>
          <w:b/>
          <w:bCs/>
          <w:lang w:bidi="he-IL"/>
        </w:rPr>
        <w:t>;</w:t>
      </w:r>
      <w:r w:rsidR="00226B96">
        <w:rPr>
          <w:b/>
          <w:bCs/>
          <w:lang w:bidi="he-IL"/>
        </w:rPr>
        <w:t xml:space="preserve"> </w:t>
      </w:r>
      <w:r w:rsidR="00226B96">
        <w:rPr>
          <w:lang w:bidi="he-IL"/>
        </w:rPr>
        <w:t xml:space="preserve">nevertheless we can still derive </w:t>
      </w:r>
      <w:r w:rsidR="00226B96">
        <w:rPr>
          <w:rFonts w:hint="cs"/>
          <w:rtl/>
          <w:lang w:bidi="he-IL"/>
        </w:rPr>
        <w:t>חייבי כריתות</w:t>
      </w:r>
      <w:r w:rsidR="00226B96">
        <w:rPr>
          <w:lang w:bidi="he-IL"/>
        </w:rPr>
        <w:t>, for</w:t>
      </w:r>
      <w:r w:rsidR="006907E2">
        <w:rPr>
          <w:lang w:bidi="he-IL"/>
        </w:rPr>
        <w:t xml:space="preserve"> </w:t>
      </w:r>
      <w:r w:rsidR="006907E2">
        <w:rPr>
          <w:b/>
          <w:bCs/>
          <w:lang w:bidi="he-IL"/>
        </w:rPr>
        <w:t xml:space="preserve">one inclusion would be for </w:t>
      </w:r>
      <w:r w:rsidR="006907E2">
        <w:rPr>
          <w:rFonts w:hint="cs"/>
          <w:b/>
          <w:bCs/>
          <w:rtl/>
          <w:lang w:bidi="he-IL"/>
        </w:rPr>
        <w:t>חייבי עשה</w:t>
      </w:r>
      <w:r w:rsidR="00BB06FF">
        <w:rPr>
          <w:b/>
          <w:bCs/>
          <w:lang w:bidi="he-IL"/>
        </w:rPr>
        <w:t xml:space="preserve"> </w:t>
      </w:r>
      <w:r w:rsidR="00BB06FF" w:rsidRPr="000A1111">
        <w:rPr>
          <w:sz w:val="24"/>
          <w:szCs w:val="24"/>
          <w:lang w:bidi="he-IL"/>
        </w:rPr>
        <w:t xml:space="preserve">(where she is </w:t>
      </w:r>
      <w:r w:rsidR="00BB06FF" w:rsidRPr="000A1111">
        <w:rPr>
          <w:rFonts w:hint="cs"/>
          <w:sz w:val="24"/>
          <w:szCs w:val="24"/>
          <w:rtl/>
          <w:lang w:bidi="he-IL"/>
        </w:rPr>
        <w:t>אינה ראויה לקיימה</w:t>
      </w:r>
      <w:r w:rsidR="00BB06FF" w:rsidRPr="000A1111">
        <w:rPr>
          <w:sz w:val="24"/>
          <w:szCs w:val="24"/>
          <w:lang w:bidi="he-IL"/>
        </w:rPr>
        <w:t xml:space="preserve">, but </w:t>
      </w:r>
      <w:r w:rsidR="00BB06FF" w:rsidRPr="000A1111">
        <w:rPr>
          <w:rFonts w:hint="cs"/>
          <w:sz w:val="24"/>
          <w:szCs w:val="24"/>
          <w:rtl/>
          <w:lang w:bidi="he-IL"/>
        </w:rPr>
        <w:t>יש בה הויה</w:t>
      </w:r>
      <w:r w:rsidR="00BB06FF" w:rsidRPr="000A1111">
        <w:rPr>
          <w:sz w:val="24"/>
          <w:szCs w:val="24"/>
          <w:lang w:bidi="he-IL"/>
        </w:rPr>
        <w:t>)</w:t>
      </w:r>
      <w:r w:rsidR="006907E2" w:rsidRPr="000A1111">
        <w:rPr>
          <w:b/>
          <w:bCs/>
          <w:sz w:val="24"/>
          <w:szCs w:val="24"/>
          <w:lang w:bidi="he-IL"/>
        </w:rPr>
        <w:t xml:space="preserve"> -</w:t>
      </w:r>
      <w:r w:rsidRPr="000A1111">
        <w:rPr>
          <w:b/>
          <w:bCs/>
          <w:sz w:val="24"/>
          <w:szCs w:val="24"/>
          <w:lang w:bidi="he-IL"/>
        </w:rPr>
        <w:t xml:space="preserve"> </w:t>
      </w:r>
    </w:p>
    <w:p w:rsidR="00435034" w:rsidRDefault="00116DD6" w:rsidP="00435034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 xml:space="preserve">ואידך לחייבי לאוין וחייבי כריתות </w:t>
      </w:r>
      <w:r w:rsidR="00435034">
        <w:rPr>
          <w:rFonts w:cs="Aharoni"/>
          <w:rtl/>
          <w:lang w:bidi="he-IL"/>
        </w:rPr>
        <w:t>–</w:t>
      </w:r>
    </w:p>
    <w:p w:rsidR="00BB06FF" w:rsidRPr="000A1111" w:rsidRDefault="006907E2" w:rsidP="00BB06FF">
      <w:pPr>
        <w:jc w:val="both"/>
        <w:rPr>
          <w:sz w:val="24"/>
          <w:szCs w:val="24"/>
          <w:lang w:bidi="he-IL"/>
        </w:rPr>
      </w:pPr>
      <w:r w:rsidRPr="006907E2">
        <w:rPr>
          <w:rFonts w:cs="Aharoni"/>
          <w:b/>
          <w:bCs/>
          <w:lang w:bidi="he-IL"/>
        </w:rPr>
        <w:t>And the other</w:t>
      </w:r>
      <w:r>
        <w:rPr>
          <w:rFonts w:cs="Aharoni"/>
          <w:lang w:bidi="he-IL"/>
        </w:rPr>
        <w:t xml:space="preserve"> inclusion would be </w:t>
      </w:r>
      <w:r>
        <w:rPr>
          <w:rFonts w:cs="Aharoni"/>
          <w:b/>
          <w:bCs/>
          <w:lang w:bidi="he-IL"/>
        </w:rPr>
        <w:t xml:space="preserve">for </w:t>
      </w:r>
      <w:r>
        <w:rPr>
          <w:rFonts w:hint="cs"/>
          <w:b/>
          <w:bCs/>
          <w:rtl/>
          <w:lang w:bidi="he-IL"/>
        </w:rPr>
        <w:t>חייבי לאוין</w:t>
      </w:r>
      <w:r w:rsidR="00BB06FF">
        <w:rPr>
          <w:b/>
          <w:bCs/>
          <w:lang w:bidi="he-IL"/>
        </w:rPr>
        <w:t xml:space="preserve"> and </w:t>
      </w:r>
      <w:r w:rsidR="00BB06FF">
        <w:rPr>
          <w:rFonts w:hint="cs"/>
          <w:b/>
          <w:bCs/>
          <w:rtl/>
          <w:lang w:bidi="he-IL"/>
        </w:rPr>
        <w:t>חייבי כריתות</w:t>
      </w:r>
      <w:r w:rsidR="00BB06FF">
        <w:rPr>
          <w:b/>
          <w:bCs/>
          <w:lang w:bidi="he-IL"/>
        </w:rPr>
        <w:t xml:space="preserve"> </w:t>
      </w:r>
      <w:r w:rsidR="00BB06FF" w:rsidRPr="000A1111">
        <w:rPr>
          <w:sz w:val="24"/>
          <w:szCs w:val="24"/>
          <w:lang w:bidi="he-IL"/>
        </w:rPr>
        <w:t xml:space="preserve">who both share the same characteristic that </w:t>
      </w:r>
      <w:r w:rsidR="00BB06FF" w:rsidRPr="000A1111">
        <w:rPr>
          <w:rFonts w:hint="cs"/>
          <w:sz w:val="24"/>
          <w:szCs w:val="24"/>
          <w:rtl/>
          <w:lang w:bidi="he-IL"/>
        </w:rPr>
        <w:t>אין קדושין תופסין בהן</w:t>
      </w:r>
      <w:r w:rsidR="00BB06FF" w:rsidRPr="000A1111">
        <w:rPr>
          <w:sz w:val="24"/>
          <w:szCs w:val="24"/>
          <w:lang w:bidi="he-IL"/>
        </w:rPr>
        <w:t xml:space="preserve"> (and [obviously] </w:t>
      </w:r>
      <w:r w:rsidR="00BB06FF" w:rsidRPr="000A1111">
        <w:rPr>
          <w:rFonts w:hint="cs"/>
          <w:sz w:val="24"/>
          <w:szCs w:val="24"/>
          <w:rtl/>
          <w:lang w:bidi="he-IL"/>
        </w:rPr>
        <w:t>אין ראויה לקיימה</w:t>
      </w:r>
      <w:r w:rsidR="00BB06FF" w:rsidRPr="000A1111">
        <w:rPr>
          <w:sz w:val="24"/>
          <w:szCs w:val="24"/>
          <w:lang w:bidi="he-IL"/>
        </w:rPr>
        <w:t>).</w:t>
      </w:r>
    </w:p>
    <w:p w:rsidR="00BB06FF" w:rsidRPr="000A1111" w:rsidRDefault="00BB06FF" w:rsidP="00BB06FF">
      <w:pPr>
        <w:jc w:val="both"/>
        <w:rPr>
          <w:sz w:val="24"/>
          <w:szCs w:val="24"/>
          <w:lang w:bidi="he-IL"/>
        </w:rPr>
      </w:pPr>
    </w:p>
    <w:p w:rsidR="006907E2" w:rsidRPr="000A1111" w:rsidRDefault="00BB06FF" w:rsidP="00BB06FF">
      <w:pPr>
        <w:jc w:val="both"/>
        <w:rPr>
          <w:rFonts w:hint="cs"/>
          <w:sz w:val="24"/>
          <w:szCs w:val="24"/>
          <w:rtl/>
          <w:lang w:bidi="he-IL"/>
        </w:rPr>
      </w:pPr>
      <w:r w:rsidRPr="000A1111">
        <w:rPr>
          <w:rFonts w:hint="cs"/>
          <w:sz w:val="24"/>
          <w:szCs w:val="24"/>
          <w:rtl/>
          <w:lang w:bidi="he-IL"/>
        </w:rPr>
        <w:t>תוספות</w:t>
      </w:r>
      <w:r w:rsidRPr="000A1111">
        <w:rPr>
          <w:sz w:val="24"/>
          <w:szCs w:val="24"/>
          <w:lang w:bidi="he-IL"/>
        </w:rPr>
        <w:t xml:space="preserve"> has an additional question:</w:t>
      </w:r>
      <w:r w:rsidR="006907E2" w:rsidRPr="000A1111">
        <w:rPr>
          <w:rFonts w:cs="Aharoni"/>
          <w:sz w:val="24"/>
          <w:szCs w:val="24"/>
          <w:lang w:bidi="he-IL"/>
        </w:rPr>
        <w:t xml:space="preserve"> </w:t>
      </w:r>
    </w:p>
    <w:p w:rsidR="00435034" w:rsidRDefault="00116DD6" w:rsidP="00435034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>וא</w:t>
      </w:r>
      <w:r w:rsidR="00435034">
        <w:rPr>
          <w:rFonts w:cs="Aharoni" w:hint="cs"/>
          <w:rtl/>
          <w:lang w:bidi="he-IL"/>
        </w:rPr>
        <w:t xml:space="preserve">ם </w:t>
      </w:r>
      <w:r w:rsidRPr="00DE21DD">
        <w:rPr>
          <w:rFonts w:cs="Aharoni" w:hint="cs"/>
          <w:rtl/>
        </w:rPr>
        <w:t>ת</w:t>
      </w:r>
      <w:r w:rsidR="00435034">
        <w:rPr>
          <w:rFonts w:cs="Aharoni" w:hint="cs"/>
          <w:rtl/>
          <w:lang w:bidi="he-IL"/>
        </w:rPr>
        <w:t>אמר</w:t>
      </w:r>
      <w:r w:rsidRPr="00DE21DD">
        <w:rPr>
          <w:rFonts w:cs="Aharoni" w:hint="cs"/>
          <w:rtl/>
        </w:rPr>
        <w:t xml:space="preserve"> ולשתוק מלו תהיה לאשה ולא יצטרך להנך ריבויי </w:t>
      </w:r>
      <w:r w:rsidR="00435034">
        <w:rPr>
          <w:rFonts w:cs="Aharoni"/>
          <w:rtl/>
          <w:lang w:bidi="he-IL"/>
        </w:rPr>
        <w:t>–</w:t>
      </w:r>
    </w:p>
    <w:p w:rsidR="001357A2" w:rsidRPr="000A1111" w:rsidRDefault="001357A2" w:rsidP="001357A2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lastRenderedPageBreak/>
        <w:t xml:space="preserve">And if you will say; let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remain silent </w:t>
      </w:r>
      <w:r>
        <w:rPr>
          <w:lang w:bidi="he-IL"/>
        </w:rPr>
        <w:t xml:space="preserve">and not state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of </w:t>
      </w:r>
      <w:r>
        <w:rPr>
          <w:rFonts w:hint="cs"/>
          <w:b/>
          <w:bCs/>
          <w:rtl/>
          <w:lang w:bidi="he-IL"/>
        </w:rPr>
        <w:t>לא תהיה לאשה</w:t>
      </w:r>
      <w:r>
        <w:rPr>
          <w:b/>
          <w:bCs/>
          <w:lang w:bidi="he-IL"/>
        </w:rPr>
        <w:t>,</w:t>
      </w:r>
      <w:r w:rsidR="007742AA">
        <w:rPr>
          <w:rStyle w:val="FootnoteReference"/>
          <w:b/>
          <w:bCs/>
          <w:lang w:bidi="he-IL"/>
        </w:rPr>
        <w:footnoteReference w:id="10"/>
      </w:r>
      <w:r>
        <w:rPr>
          <w:b/>
          <w:bCs/>
          <w:lang w:bidi="he-IL"/>
        </w:rPr>
        <w:t xml:space="preserve"> and </w:t>
      </w:r>
      <w:r w:rsidRPr="001357A2">
        <w:rPr>
          <w:lang w:bidi="he-IL"/>
        </w:rPr>
        <w:t>therefore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these </w:t>
      </w:r>
      <w:r>
        <w:rPr>
          <w:rFonts w:hint="cs"/>
          <w:b/>
          <w:bCs/>
          <w:rtl/>
          <w:lang w:bidi="he-IL"/>
        </w:rPr>
        <w:t>ריבויים</w:t>
      </w:r>
      <w:r>
        <w:rPr>
          <w:b/>
          <w:bCs/>
          <w:lang w:bidi="he-IL"/>
        </w:rPr>
        <w:t xml:space="preserve"> will not be required.</w:t>
      </w:r>
      <w:r>
        <w:rPr>
          <w:rStyle w:val="FootnoteReference"/>
          <w:b/>
          <w:bCs/>
          <w:lang w:bidi="he-IL"/>
        </w:rPr>
        <w:footnoteReference w:id="11"/>
      </w:r>
      <w:r>
        <w:rPr>
          <w:b/>
          <w:bCs/>
          <w:lang w:bidi="he-IL"/>
        </w:rPr>
        <w:t xml:space="preserve"> </w:t>
      </w:r>
      <w:r w:rsidRPr="000A1111">
        <w:rPr>
          <w:sz w:val="24"/>
          <w:szCs w:val="24"/>
          <w:lang w:bidi="he-IL"/>
        </w:rPr>
        <w:t xml:space="preserve">Why does the </w:t>
      </w:r>
      <w:r w:rsidRPr="000A1111">
        <w:rPr>
          <w:rFonts w:hint="cs"/>
          <w:sz w:val="24"/>
          <w:szCs w:val="24"/>
          <w:rtl/>
          <w:lang w:bidi="he-IL"/>
        </w:rPr>
        <w:t>תורה</w:t>
      </w:r>
      <w:r w:rsidRPr="000A1111">
        <w:rPr>
          <w:sz w:val="24"/>
          <w:szCs w:val="24"/>
          <w:lang w:bidi="he-IL"/>
        </w:rPr>
        <w:t xml:space="preserve"> first limit and then broaden the </w:t>
      </w:r>
      <w:r w:rsidRPr="000A1111">
        <w:rPr>
          <w:rFonts w:hint="cs"/>
          <w:sz w:val="24"/>
          <w:szCs w:val="24"/>
          <w:rtl/>
          <w:lang w:bidi="he-IL"/>
        </w:rPr>
        <w:t>חיוב קנס</w:t>
      </w:r>
      <w:r w:rsidRPr="000A1111">
        <w:rPr>
          <w:sz w:val="24"/>
          <w:szCs w:val="24"/>
          <w:lang w:bidi="he-IL"/>
        </w:rPr>
        <w:t>.</w:t>
      </w:r>
    </w:p>
    <w:p w:rsidR="001357A2" w:rsidRPr="000A1111" w:rsidRDefault="001357A2" w:rsidP="001357A2">
      <w:pPr>
        <w:jc w:val="both"/>
        <w:rPr>
          <w:sz w:val="24"/>
          <w:szCs w:val="24"/>
          <w:lang w:bidi="he-IL"/>
        </w:rPr>
      </w:pPr>
    </w:p>
    <w:p w:rsidR="00BB06FF" w:rsidRPr="000A1111" w:rsidRDefault="001357A2" w:rsidP="001357A2">
      <w:pPr>
        <w:jc w:val="both"/>
        <w:rPr>
          <w:b/>
          <w:bCs/>
          <w:sz w:val="24"/>
          <w:szCs w:val="24"/>
          <w:lang w:bidi="he-IL"/>
        </w:rPr>
      </w:pPr>
      <w:r w:rsidRPr="000A1111">
        <w:rPr>
          <w:rFonts w:hint="cs"/>
          <w:sz w:val="24"/>
          <w:szCs w:val="24"/>
          <w:rtl/>
          <w:lang w:bidi="he-IL"/>
        </w:rPr>
        <w:t>תוספות</w:t>
      </w:r>
      <w:r w:rsidRPr="000A1111">
        <w:rPr>
          <w:sz w:val="24"/>
          <w:szCs w:val="24"/>
          <w:lang w:bidi="he-IL"/>
        </w:rPr>
        <w:t xml:space="preserve"> answers: </w:t>
      </w:r>
    </w:p>
    <w:p w:rsidR="00D80DE2" w:rsidRDefault="00116DD6" w:rsidP="00435034">
      <w:pPr>
        <w:bidi/>
        <w:jc w:val="both"/>
        <w:rPr>
          <w:rFonts w:cs="Aharoni"/>
          <w:lang w:bidi="he-IL"/>
        </w:rPr>
      </w:pPr>
      <w:r w:rsidRPr="00DE21DD">
        <w:rPr>
          <w:rFonts w:cs="Aharoni" w:hint="cs"/>
          <w:rtl/>
        </w:rPr>
        <w:t>וי</w:t>
      </w:r>
      <w:r w:rsidR="00435034">
        <w:rPr>
          <w:rFonts w:cs="Aharoni" w:hint="cs"/>
          <w:rtl/>
          <w:lang w:bidi="he-IL"/>
        </w:rPr>
        <w:t xml:space="preserve">ש </w:t>
      </w:r>
      <w:r w:rsidRPr="00DE21DD">
        <w:rPr>
          <w:rFonts w:cs="Aharoni" w:hint="cs"/>
          <w:rtl/>
        </w:rPr>
        <w:t>ל</w:t>
      </w:r>
      <w:r w:rsidR="00435034">
        <w:rPr>
          <w:rFonts w:cs="Aharoni" w:hint="cs"/>
          <w:rtl/>
          <w:lang w:bidi="he-IL"/>
        </w:rPr>
        <w:t>ומר</w:t>
      </w:r>
      <w:r w:rsidRPr="00DE21DD">
        <w:rPr>
          <w:rFonts w:cs="Aharoni" w:hint="cs"/>
          <w:rtl/>
        </w:rPr>
        <w:t xml:space="preserve"> דאיצטריך למידרש ולו תהיה לאשה מדעתה</w:t>
      </w:r>
      <w:r w:rsidR="00435034">
        <w:rPr>
          <w:rFonts w:cs="Aharoni" w:hint="cs"/>
          <w:rtl/>
          <w:lang w:bidi="he-IL"/>
        </w:rPr>
        <w:t xml:space="preserve"> </w:t>
      </w:r>
      <w:r w:rsidR="001357A2">
        <w:rPr>
          <w:rFonts w:cs="Aharoni"/>
          <w:rtl/>
          <w:lang w:bidi="he-IL"/>
        </w:rPr>
        <w:t>–</w:t>
      </w:r>
    </w:p>
    <w:p w:rsidR="001357A2" w:rsidRDefault="001357A2" w:rsidP="00F270EA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one can say; that it is necessary to </w:t>
      </w:r>
      <w:r w:rsidR="00F270EA">
        <w:rPr>
          <w:rFonts w:cs="Aharoni"/>
          <w:lang w:bidi="he-IL"/>
        </w:rPr>
        <w:t xml:space="preserve">state the </w:t>
      </w:r>
      <w:r w:rsidR="00F270EA">
        <w:rPr>
          <w:rFonts w:hint="cs"/>
          <w:rtl/>
          <w:lang w:bidi="he-IL"/>
        </w:rPr>
        <w:t>פסוק</w:t>
      </w:r>
      <w:r w:rsidR="00F270EA">
        <w:rPr>
          <w:lang w:bidi="he-IL"/>
        </w:rPr>
        <w:t xml:space="preserve"> of </w:t>
      </w:r>
      <w:r w:rsidR="00F270EA">
        <w:rPr>
          <w:rFonts w:hint="cs"/>
          <w:b/>
          <w:bCs/>
          <w:rtl/>
          <w:lang w:bidi="he-IL"/>
        </w:rPr>
        <w:t>ולו תהיה לאשה</w:t>
      </w:r>
      <w:r w:rsidR="00F270EA">
        <w:rPr>
          <w:rFonts w:cs="Aharoni"/>
          <w:b/>
          <w:bCs/>
          <w:lang w:bidi="he-IL"/>
        </w:rPr>
        <w:t xml:space="preserve"> </w:t>
      </w:r>
      <w:r w:rsidR="00F270EA">
        <w:rPr>
          <w:rFonts w:cs="Aharoni"/>
          <w:lang w:bidi="he-IL"/>
        </w:rPr>
        <w:t xml:space="preserve">in order to </w:t>
      </w:r>
      <w:r>
        <w:rPr>
          <w:rFonts w:cs="Aharoni"/>
          <w:b/>
          <w:bCs/>
          <w:lang w:bidi="he-IL"/>
        </w:rPr>
        <w:t xml:space="preserve">derive </w:t>
      </w:r>
      <w:r>
        <w:rPr>
          <w:rFonts w:cs="Aharoni"/>
          <w:lang w:bidi="he-IL"/>
        </w:rPr>
        <w:t xml:space="preserve">from </w:t>
      </w:r>
      <w:r w:rsidR="00F270EA">
        <w:rPr>
          <w:rFonts w:cs="Aharoni"/>
          <w:lang w:bidi="he-IL"/>
        </w:rPr>
        <w:t xml:space="preserve">it </w:t>
      </w:r>
      <w:r>
        <w:rPr>
          <w:lang w:bidi="he-IL"/>
        </w:rPr>
        <w:t xml:space="preserve">that the ensuing marriage </w:t>
      </w:r>
      <w:r w:rsidR="0042075E">
        <w:rPr>
          <w:lang w:bidi="he-IL"/>
        </w:rPr>
        <w:t>can</w:t>
      </w:r>
      <w:r>
        <w:rPr>
          <w:lang w:bidi="he-IL"/>
        </w:rPr>
        <w:t xml:space="preserve"> only</w:t>
      </w:r>
      <w:r w:rsidR="0042075E">
        <w:rPr>
          <w:lang w:bidi="he-IL"/>
        </w:rPr>
        <w:t xml:space="preserve"> be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with her consent</w:t>
      </w:r>
      <w:r w:rsidR="00D55E4B">
        <w:rPr>
          <w:rStyle w:val="FootnoteReference"/>
          <w:b/>
          <w:bCs/>
          <w:lang w:bidi="he-IL"/>
        </w:rPr>
        <w:footnoteReference w:id="12"/>
      </w:r>
      <w:r>
        <w:rPr>
          <w:b/>
          <w:bCs/>
          <w:lang w:bidi="he-IL"/>
        </w:rPr>
        <w:t>.</w:t>
      </w:r>
      <w:r w:rsidR="000A1111">
        <w:rPr>
          <w:b/>
          <w:bCs/>
          <w:lang w:bidi="he-IL"/>
        </w:rPr>
        <w:t xml:space="preserve"> </w:t>
      </w:r>
      <w:r w:rsidR="00F270EA" w:rsidRPr="00F270EA">
        <w:rPr>
          <w:sz w:val="24"/>
          <w:szCs w:val="24"/>
          <w:lang w:bidi="he-IL"/>
        </w:rPr>
        <w:t xml:space="preserve">Once that </w:t>
      </w:r>
      <w:r w:rsidR="00F270EA" w:rsidRPr="00F270EA">
        <w:rPr>
          <w:rFonts w:hint="cs"/>
          <w:sz w:val="24"/>
          <w:szCs w:val="24"/>
          <w:rtl/>
          <w:lang w:bidi="he-IL"/>
        </w:rPr>
        <w:t>פסוק</w:t>
      </w:r>
      <w:r w:rsidR="00F270EA" w:rsidRPr="00F270EA">
        <w:rPr>
          <w:sz w:val="24"/>
          <w:szCs w:val="24"/>
          <w:lang w:bidi="he-IL"/>
        </w:rPr>
        <w:t xml:space="preserve"> was written, it indicates that there is a requirement for </w:t>
      </w:r>
      <w:r w:rsidR="00F270EA" w:rsidRPr="00F270EA">
        <w:rPr>
          <w:rFonts w:hint="cs"/>
          <w:sz w:val="24"/>
          <w:szCs w:val="24"/>
          <w:rtl/>
          <w:lang w:bidi="he-IL"/>
        </w:rPr>
        <w:t>יש בה הויה</w:t>
      </w:r>
      <w:r w:rsidR="00F270EA" w:rsidRPr="00F270EA">
        <w:rPr>
          <w:sz w:val="24"/>
          <w:szCs w:val="24"/>
          <w:lang w:bidi="he-IL"/>
        </w:rPr>
        <w:t xml:space="preserve"> and </w:t>
      </w:r>
      <w:r w:rsidR="00F270EA" w:rsidRPr="00F270EA">
        <w:rPr>
          <w:rFonts w:hint="cs"/>
          <w:sz w:val="24"/>
          <w:szCs w:val="24"/>
          <w:rtl/>
          <w:lang w:bidi="he-IL"/>
        </w:rPr>
        <w:t>ראויה לקיימה</w:t>
      </w:r>
      <w:r w:rsidR="00F270EA" w:rsidRPr="00F270EA">
        <w:rPr>
          <w:sz w:val="24"/>
          <w:szCs w:val="24"/>
          <w:lang w:bidi="he-IL"/>
        </w:rPr>
        <w:t xml:space="preserve">; therefore we have the two </w:t>
      </w:r>
      <w:r w:rsidR="00F270EA" w:rsidRPr="00F270EA">
        <w:rPr>
          <w:rFonts w:hint="cs"/>
          <w:sz w:val="24"/>
          <w:szCs w:val="24"/>
          <w:rtl/>
          <w:lang w:bidi="he-IL"/>
        </w:rPr>
        <w:t>ריבויים</w:t>
      </w:r>
      <w:r w:rsidR="00F270EA" w:rsidRPr="00F270EA">
        <w:rPr>
          <w:sz w:val="24"/>
          <w:szCs w:val="24"/>
          <w:lang w:bidi="he-IL"/>
        </w:rPr>
        <w:t xml:space="preserve"> to include</w:t>
      </w:r>
      <w:r w:rsidR="00F270EA">
        <w:rPr>
          <w:sz w:val="24"/>
          <w:szCs w:val="24"/>
          <w:lang w:bidi="he-IL"/>
        </w:rPr>
        <w:t xml:space="preserve"> that</w:t>
      </w:r>
      <w:r w:rsidR="00F270EA" w:rsidRPr="00F270EA">
        <w:rPr>
          <w:sz w:val="24"/>
          <w:szCs w:val="24"/>
          <w:lang w:bidi="he-IL"/>
        </w:rPr>
        <w:t xml:space="preserve"> </w:t>
      </w:r>
      <w:r w:rsidR="00F270EA" w:rsidRPr="00F270EA">
        <w:rPr>
          <w:rFonts w:hint="cs"/>
          <w:sz w:val="24"/>
          <w:szCs w:val="24"/>
          <w:rtl/>
          <w:lang w:bidi="he-IL"/>
        </w:rPr>
        <w:t>חייבי עשה ולאוין וכריתות</w:t>
      </w:r>
      <w:r w:rsidR="00F270EA" w:rsidRPr="00F270EA">
        <w:rPr>
          <w:sz w:val="24"/>
          <w:szCs w:val="24"/>
          <w:lang w:bidi="he-IL"/>
        </w:rPr>
        <w:t xml:space="preserve">, also receive </w:t>
      </w:r>
      <w:r w:rsidR="00F270EA" w:rsidRPr="00F270EA">
        <w:rPr>
          <w:rFonts w:hint="cs"/>
          <w:sz w:val="24"/>
          <w:szCs w:val="24"/>
          <w:rtl/>
          <w:lang w:bidi="he-IL"/>
        </w:rPr>
        <w:t>קנס</w:t>
      </w:r>
      <w:r w:rsidR="00F270EA" w:rsidRPr="00F270EA">
        <w:rPr>
          <w:sz w:val="24"/>
          <w:szCs w:val="24"/>
          <w:lang w:bidi="he-IL"/>
        </w:rPr>
        <w:t>.</w:t>
      </w:r>
    </w:p>
    <w:p w:rsidR="007B5406" w:rsidRDefault="007B5406" w:rsidP="00F270EA">
      <w:pPr>
        <w:jc w:val="both"/>
        <w:rPr>
          <w:sz w:val="24"/>
          <w:szCs w:val="24"/>
          <w:lang w:bidi="he-IL"/>
        </w:rPr>
      </w:pPr>
    </w:p>
    <w:p w:rsidR="007B5406" w:rsidRDefault="007B5406" w:rsidP="00F270EA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D643EC" w:rsidRDefault="00D55E4B" w:rsidP="00D55E4B">
      <w:pPr>
        <w:jc w:val="both"/>
        <w:rPr>
          <w:lang w:bidi="he-IL"/>
        </w:rPr>
      </w:pPr>
      <w:r>
        <w:rPr>
          <w:lang w:bidi="he-IL"/>
        </w:rPr>
        <w:t xml:space="preserve">We are </w:t>
      </w:r>
      <w:r>
        <w:rPr>
          <w:rFonts w:hint="cs"/>
          <w:rtl/>
          <w:lang w:bidi="he-IL"/>
        </w:rPr>
        <w:t>מרבה</w:t>
      </w:r>
      <w:r>
        <w:rPr>
          <w:lang w:bidi="he-IL"/>
        </w:rPr>
        <w:t xml:space="preserve"> from one </w:t>
      </w:r>
      <w:r>
        <w:rPr>
          <w:rFonts w:hint="cs"/>
          <w:rtl/>
          <w:lang w:bidi="he-IL"/>
        </w:rPr>
        <w:t>ריבוי</w:t>
      </w:r>
      <w:r w:rsidR="00D643EC">
        <w:rPr>
          <w:lang w:bidi="he-IL"/>
        </w:rPr>
        <w:t xml:space="preserve"> those woman who </w:t>
      </w:r>
      <w:r w:rsidR="00D643EC">
        <w:rPr>
          <w:rFonts w:hint="cs"/>
          <w:rtl/>
          <w:lang w:bidi="he-IL"/>
        </w:rPr>
        <w:t>קדושין תופסין בהן</w:t>
      </w:r>
      <w:r w:rsidR="00D643EC">
        <w:rPr>
          <w:lang w:bidi="he-IL"/>
        </w:rPr>
        <w:t xml:space="preserve"> but are </w:t>
      </w:r>
      <w:r w:rsidR="00D643EC">
        <w:rPr>
          <w:rFonts w:hint="cs"/>
          <w:rtl/>
          <w:lang w:bidi="he-IL"/>
        </w:rPr>
        <w:t>אינן ראויין לקיימן</w:t>
      </w:r>
      <w:r w:rsidR="00D643EC">
        <w:rPr>
          <w:lang w:bidi="he-IL"/>
        </w:rPr>
        <w:t xml:space="preserve"> and from the other </w:t>
      </w:r>
      <w:r w:rsidR="00D643EC">
        <w:rPr>
          <w:rFonts w:hint="cs"/>
          <w:rtl/>
          <w:lang w:bidi="he-IL"/>
        </w:rPr>
        <w:t>ריבוי</w:t>
      </w:r>
      <w:r w:rsidR="00D643EC">
        <w:rPr>
          <w:lang w:bidi="he-IL"/>
        </w:rPr>
        <w:t xml:space="preserve"> those woman that </w:t>
      </w:r>
      <w:r w:rsidR="00D643EC">
        <w:rPr>
          <w:rFonts w:hint="cs"/>
          <w:rtl/>
          <w:lang w:bidi="he-IL"/>
        </w:rPr>
        <w:t>אין קדושין תופסין בהן</w:t>
      </w:r>
      <w:r w:rsidR="00D643EC">
        <w:rPr>
          <w:lang w:bidi="he-IL"/>
        </w:rPr>
        <w:t xml:space="preserve">. </w:t>
      </w:r>
    </w:p>
    <w:p w:rsidR="007B5406" w:rsidRDefault="00D643EC" w:rsidP="00D55E4B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may marry the </w:t>
      </w:r>
      <w:r>
        <w:rPr>
          <w:rFonts w:hint="cs"/>
          <w:rtl/>
          <w:lang w:bidi="he-IL"/>
        </w:rPr>
        <w:t>אנוסה</w:t>
      </w:r>
      <w:r>
        <w:rPr>
          <w:lang w:bidi="he-IL"/>
        </w:rPr>
        <w:t xml:space="preserve">, only with her consent, as it is written </w:t>
      </w:r>
      <w:r>
        <w:rPr>
          <w:rFonts w:hint="cs"/>
          <w:rtl/>
          <w:lang w:bidi="he-IL"/>
        </w:rPr>
        <w:t>ולא תהיה לאשה</w:t>
      </w:r>
      <w:r>
        <w:rPr>
          <w:lang w:bidi="he-IL"/>
        </w:rPr>
        <w:t>.</w:t>
      </w:r>
      <w:r w:rsidR="00D55E4B">
        <w:rPr>
          <w:lang w:bidi="he-IL"/>
        </w:rPr>
        <w:t xml:space="preserve"> </w:t>
      </w:r>
    </w:p>
    <w:p w:rsidR="007B5406" w:rsidRDefault="007B5406" w:rsidP="00F270EA">
      <w:pPr>
        <w:jc w:val="both"/>
        <w:rPr>
          <w:sz w:val="24"/>
          <w:szCs w:val="24"/>
          <w:lang w:bidi="he-IL"/>
        </w:rPr>
      </w:pPr>
    </w:p>
    <w:p w:rsidR="007B5406" w:rsidRDefault="007B5406" w:rsidP="00F270EA">
      <w:pPr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7B5406" w:rsidRDefault="00D643EC" w:rsidP="00FB1885">
      <w:pPr>
        <w:jc w:val="both"/>
        <w:rPr>
          <w:lang w:bidi="he-IL"/>
        </w:rPr>
      </w:pPr>
      <w:r>
        <w:rPr>
          <w:lang w:bidi="he-IL"/>
        </w:rPr>
        <w:t xml:space="preserve">1. </w:t>
      </w:r>
      <w:r w:rsidR="007B5406">
        <w:rPr>
          <w:lang w:bidi="he-IL"/>
        </w:rPr>
        <w:t>What is the</w:t>
      </w:r>
      <w:r w:rsidR="000673F8">
        <w:rPr>
          <w:lang w:bidi="he-IL"/>
        </w:rPr>
        <w:t xml:space="preserve"> underlying</w:t>
      </w:r>
      <w:r w:rsidR="007B5406">
        <w:rPr>
          <w:lang w:bidi="he-IL"/>
        </w:rPr>
        <w:t xml:space="preserve"> difference in the understanding of the </w:t>
      </w:r>
      <w:r w:rsidR="007B5406">
        <w:rPr>
          <w:rFonts w:hint="cs"/>
          <w:rtl/>
          <w:lang w:bidi="he-IL"/>
        </w:rPr>
        <w:t>גמרא</w:t>
      </w:r>
      <w:r w:rsidR="007B5406">
        <w:rPr>
          <w:lang w:bidi="he-IL"/>
        </w:rPr>
        <w:t xml:space="preserve"> </w:t>
      </w:r>
      <w:r w:rsidR="00D55E4B">
        <w:rPr>
          <w:lang w:bidi="he-IL"/>
        </w:rPr>
        <w:t xml:space="preserve">between </w:t>
      </w:r>
      <w:r w:rsidR="007B5406">
        <w:rPr>
          <w:lang w:bidi="he-IL"/>
        </w:rPr>
        <w:t xml:space="preserve">the </w:t>
      </w:r>
      <w:r w:rsidR="007B5406">
        <w:rPr>
          <w:rFonts w:hint="cs"/>
          <w:rtl/>
          <w:lang w:bidi="he-IL"/>
        </w:rPr>
        <w:t>קשיא</w:t>
      </w:r>
      <w:r>
        <w:rPr>
          <w:lang w:bidi="he-IL"/>
        </w:rPr>
        <w:t xml:space="preserve"> </w:t>
      </w:r>
      <w:r w:rsidR="00FB1885">
        <w:rPr>
          <w:lang w:bidi="he-IL"/>
        </w:rPr>
        <w:t xml:space="preserve">of the </w:t>
      </w:r>
      <w:r w:rsidR="00FB1885">
        <w:rPr>
          <w:rFonts w:hint="cs"/>
          <w:rtl/>
          <w:lang w:bidi="he-IL"/>
        </w:rPr>
        <w:t>ריב"ם</w:t>
      </w:r>
      <w:r w:rsidR="00FB1885">
        <w:rPr>
          <w:lang w:bidi="he-IL"/>
        </w:rPr>
        <w:t xml:space="preserve"> </w:t>
      </w:r>
      <w:r>
        <w:rPr>
          <w:lang w:bidi="he-IL"/>
        </w:rPr>
        <w:t xml:space="preserve">(where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maintained that three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are necessary)</w:t>
      </w:r>
      <w:r w:rsidR="00FB1885">
        <w:rPr>
          <w:lang w:bidi="he-IL"/>
        </w:rPr>
        <w:t>,</w:t>
      </w:r>
      <w:r w:rsidR="007B5406">
        <w:rPr>
          <w:lang w:bidi="he-IL"/>
        </w:rPr>
        <w:t xml:space="preserve"> and </w:t>
      </w:r>
      <w:r w:rsidR="00D55E4B">
        <w:rPr>
          <w:lang w:bidi="he-IL"/>
        </w:rPr>
        <w:t xml:space="preserve">the </w:t>
      </w:r>
      <w:r w:rsidR="007B5406">
        <w:rPr>
          <w:rFonts w:hint="cs"/>
          <w:rtl/>
          <w:lang w:bidi="he-IL"/>
        </w:rPr>
        <w:t>תירוץ</w:t>
      </w:r>
      <w:r>
        <w:rPr>
          <w:lang w:bidi="he-IL"/>
        </w:rPr>
        <w:t xml:space="preserve"> </w:t>
      </w:r>
      <w:r w:rsidR="00FB1885">
        <w:rPr>
          <w:lang w:bidi="he-IL"/>
        </w:rPr>
        <w:t xml:space="preserve">of the </w:t>
      </w:r>
      <w:r w:rsidR="00FB1885">
        <w:rPr>
          <w:rFonts w:hint="cs"/>
          <w:rtl/>
          <w:lang w:bidi="he-IL"/>
        </w:rPr>
        <w:t>ריב"ם</w:t>
      </w:r>
      <w:r w:rsidR="00FB1885">
        <w:rPr>
          <w:lang w:bidi="he-IL"/>
        </w:rPr>
        <w:t xml:space="preserve"> </w:t>
      </w:r>
      <w:r>
        <w:rPr>
          <w:lang w:bidi="he-IL"/>
        </w:rPr>
        <w:t xml:space="preserve">(where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concluded that only two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are necessary)</w:t>
      </w:r>
      <w:r w:rsidR="007B5406">
        <w:rPr>
          <w:lang w:bidi="he-IL"/>
        </w:rPr>
        <w:t>?</w:t>
      </w:r>
      <w:r w:rsidR="00D55E4B">
        <w:rPr>
          <w:rStyle w:val="FootnoteReference"/>
          <w:lang w:bidi="he-IL"/>
        </w:rPr>
        <w:footnoteReference w:id="13"/>
      </w:r>
    </w:p>
    <w:p w:rsidR="00D643EC" w:rsidRDefault="00D643EC" w:rsidP="00D55E4B">
      <w:pPr>
        <w:jc w:val="both"/>
        <w:rPr>
          <w:lang w:bidi="he-IL"/>
        </w:rPr>
      </w:pPr>
    </w:p>
    <w:p w:rsidR="00D643EC" w:rsidRPr="007B5406" w:rsidRDefault="00D643EC" w:rsidP="00D55E4B">
      <w:pPr>
        <w:jc w:val="both"/>
        <w:rPr>
          <w:lang w:bidi="he-IL"/>
        </w:rPr>
      </w:pPr>
      <w:r>
        <w:rPr>
          <w:lang w:bidi="he-IL"/>
        </w:rPr>
        <w:t xml:space="preserve">2. Why indeed does not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(even) mention </w:t>
      </w:r>
      <w:r>
        <w:rPr>
          <w:rFonts w:hint="cs"/>
          <w:rtl/>
          <w:lang w:bidi="he-IL"/>
        </w:rPr>
        <w:t>חייבי עשה</w:t>
      </w:r>
      <w:r>
        <w:rPr>
          <w:lang w:bidi="he-IL"/>
        </w:rPr>
        <w:t xml:space="preserve"> (especially if we maintain </w:t>
      </w:r>
      <w:r>
        <w:rPr>
          <w:rFonts w:hint="cs"/>
          <w:rtl/>
          <w:lang w:bidi="he-IL"/>
        </w:rPr>
        <w:t>אין קדושין תופסין בחייבי לאוין</w:t>
      </w:r>
      <w:r>
        <w:rPr>
          <w:lang w:bidi="he-IL"/>
        </w:rPr>
        <w:t xml:space="preserve">)?! </w:t>
      </w:r>
    </w:p>
    <w:sectPr w:rsidR="00D643EC" w:rsidRPr="007B540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620" w:rsidRDefault="00BD0620">
      <w:r>
        <w:separator/>
      </w:r>
    </w:p>
  </w:endnote>
  <w:endnote w:type="continuationSeparator" w:id="0">
    <w:p w:rsidR="00BD0620" w:rsidRDefault="00BD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530" w:rsidRDefault="008E3530" w:rsidP="000F63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530" w:rsidRDefault="008E35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530" w:rsidRDefault="008E3530" w:rsidP="000F63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2AD">
      <w:rPr>
        <w:rStyle w:val="PageNumber"/>
        <w:noProof/>
      </w:rPr>
      <w:t>3</w:t>
    </w:r>
    <w:r>
      <w:rPr>
        <w:rStyle w:val="PageNumber"/>
      </w:rPr>
      <w:fldChar w:fldCharType="end"/>
    </w:r>
  </w:p>
  <w:p w:rsidR="008E3530" w:rsidRDefault="008E3530">
    <w:pPr>
      <w:pStyle w:val="Footer"/>
      <w:rPr>
        <w:rFonts w:hint="cs"/>
        <w:rtl/>
        <w:lang w:bidi="he-IL"/>
      </w:rPr>
    </w:pPr>
  </w:p>
  <w:p w:rsidR="008E3530" w:rsidRPr="00BD691A" w:rsidRDefault="008E3530" w:rsidP="00BD691A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620" w:rsidRDefault="00BD0620">
      <w:r>
        <w:separator/>
      </w:r>
    </w:p>
  </w:footnote>
  <w:footnote w:type="continuationSeparator" w:id="0">
    <w:p w:rsidR="00BD0620" w:rsidRDefault="00BD0620">
      <w:r>
        <w:continuationSeparator/>
      </w:r>
    </w:p>
  </w:footnote>
  <w:footnote w:id="1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include the </w:t>
      </w:r>
      <w:r>
        <w:rPr>
          <w:rFonts w:hint="cs"/>
          <w:rtl/>
          <w:lang w:bidi="he-IL"/>
        </w:rPr>
        <w:t>איסורי כהונה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איסור ממזרות, עמוני ומואבי</w:t>
      </w:r>
      <w:r>
        <w:rPr>
          <w:lang w:bidi="he-IL"/>
        </w:rPr>
        <w:t xml:space="preserve">, etc.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 is administered for transgressing these prohibitions </w:t>
      </w:r>
      <w:r>
        <w:rPr>
          <w:rFonts w:hint="cs"/>
          <w:rtl/>
          <w:lang w:bidi="he-IL"/>
        </w:rPr>
        <w:t>במזיד</w:t>
      </w:r>
      <w:r>
        <w:rPr>
          <w:lang w:bidi="he-IL"/>
        </w:rPr>
        <w:t>.</w:t>
      </w:r>
    </w:p>
  </w:footnote>
  <w:footnote w:id="2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include many of the family forbidden relationships such as a brother and sister, etc. </w:t>
      </w:r>
    </w:p>
  </w:footnote>
  <w:footnote w:id="3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These include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states concerning a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דור שלישי יבא להם בקהל ה'</w:t>
      </w:r>
      <w:r>
        <w:rPr>
          <w:lang w:bidi="he-IL"/>
        </w:rPr>
        <w:t xml:space="preserve">. We infer from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that we can only marry a third generation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 xml:space="preserve"> (one whose grandfather was </w:t>
      </w:r>
      <w:r>
        <w:rPr>
          <w:rFonts w:hint="cs"/>
          <w:rtl/>
          <w:lang w:bidi="he-IL"/>
        </w:rPr>
        <w:t>מגייר</w:t>
      </w:r>
      <w:r>
        <w:rPr>
          <w:lang w:bidi="he-IL"/>
        </w:rPr>
        <w:t xml:space="preserve">), but not a first or second generation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>. This prohibition is derived from a permissible statement (</w:t>
      </w:r>
      <w:r>
        <w:rPr>
          <w:rFonts w:hint="cs"/>
          <w:rtl/>
          <w:lang w:bidi="he-IL"/>
        </w:rPr>
        <w:t>דור שלישי יבא</w:t>
      </w:r>
      <w:r>
        <w:rPr>
          <w:lang w:bidi="he-IL"/>
        </w:rPr>
        <w:t xml:space="preserve">); therefore this derived prohibition is called an </w:t>
      </w:r>
      <w:r>
        <w:rPr>
          <w:rFonts w:hint="cs"/>
          <w:rtl/>
          <w:lang w:bidi="he-IL"/>
        </w:rPr>
        <w:t>עשה</w:t>
      </w:r>
      <w:r>
        <w:rPr>
          <w:lang w:bidi="he-IL"/>
        </w:rPr>
        <w:t xml:space="preserve">. There is no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 for transgressing this </w:t>
      </w:r>
      <w:r>
        <w:rPr>
          <w:rFonts w:hint="cs"/>
          <w:rtl/>
          <w:lang w:bidi="he-IL"/>
        </w:rPr>
        <w:t>עשה</w:t>
      </w:r>
      <w:r>
        <w:rPr>
          <w:lang w:bidi="he-IL"/>
        </w:rPr>
        <w:t>.</w:t>
      </w:r>
    </w:p>
  </w:footnote>
  <w:footnote w:id="4">
    <w:p w:rsidR="008E3530" w:rsidRDefault="008E3530" w:rsidP="0095344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use a </w:t>
      </w:r>
      <w:r>
        <w:rPr>
          <w:rFonts w:hint="cs"/>
          <w:rtl/>
          <w:lang w:bidi="he-IL"/>
        </w:rPr>
        <w:t>דרשה</w:t>
      </w:r>
      <w:r>
        <w:rPr>
          <w:lang w:bidi="he-IL"/>
        </w:rPr>
        <w:t xml:space="preserve"> to include the less punishable first, and then continuing up the scale of punishments.</w:t>
      </w:r>
    </w:p>
  </w:footnote>
  <w:footnote w:id="5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כב,כט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teaches us in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אנוסה</w:t>
      </w:r>
      <w:r>
        <w:rPr>
          <w:lang w:bidi="he-IL"/>
        </w:rPr>
        <w:t xml:space="preserve"> should become the wife of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>.</w:t>
      </w:r>
    </w:p>
  </w:footnote>
  <w:footnote w:id="6">
    <w:p w:rsidR="008E3530" w:rsidRDefault="008E3530" w:rsidP="0085744A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the ensuing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שמעון התימני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ר' שמעון בן מנסיא</w:t>
      </w:r>
      <w:r>
        <w:rPr>
          <w:lang w:bidi="he-IL"/>
        </w:rPr>
        <w:t xml:space="preserve">. </w:t>
      </w:r>
      <w:r>
        <w:t xml:space="preserve">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ולא תהיה לאשה</w:t>
      </w:r>
      <w:r>
        <w:rPr>
          <w:lang w:bidi="he-IL"/>
        </w:rPr>
        <w:t xml:space="preserve"> that it written in </w:t>
      </w:r>
      <w:r>
        <w:rPr>
          <w:rFonts w:hint="cs"/>
          <w:rtl/>
          <w:lang w:bidi="he-IL"/>
        </w:rPr>
        <w:t>פרשת מאנס</w:t>
      </w:r>
      <w:r>
        <w:rPr>
          <w:lang w:bidi="he-IL"/>
        </w:rPr>
        <w:t xml:space="preserve"> can teach us that the laws of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are limited to the following (two) situations; a) that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effective with this woman (she becomes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through </w:t>
      </w:r>
      <w:r>
        <w:rPr>
          <w:rFonts w:hint="cs"/>
          <w:rtl/>
          <w:lang w:bidi="he-IL"/>
        </w:rPr>
        <w:t>מעשה קדושין</w:t>
      </w:r>
      <w:r>
        <w:rPr>
          <w:lang w:bidi="he-IL"/>
        </w:rPr>
        <w:t xml:space="preserve">); and b) that he is permitted to remain married to this woman; there is no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in living with this woman [these two laws are derived primarily from the word </w:t>
      </w:r>
      <w:r>
        <w:rPr>
          <w:rFonts w:hint="cs"/>
          <w:rtl/>
          <w:lang w:bidi="he-IL"/>
        </w:rPr>
        <w:t>תהיה</w:t>
      </w:r>
      <w:r>
        <w:rPr>
          <w:lang w:bidi="he-IL"/>
        </w:rPr>
        <w:t xml:space="preserve">]. Were it not for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, there would always be a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for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>, regardless of the woman’s prohibitive status.</w:t>
      </w:r>
    </w:p>
  </w:footnote>
  <w:footnote w:id="7">
    <w:p w:rsidR="00CA1200" w:rsidRDefault="00CA1200" w:rsidP="00CA120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According to most </w:t>
      </w:r>
      <w:r>
        <w:rPr>
          <w:rFonts w:hint="cs"/>
          <w:rtl/>
          <w:lang w:bidi="he-IL"/>
        </w:rPr>
        <w:t>תנאים</w:t>
      </w:r>
      <w:r>
        <w:rPr>
          <w:lang w:bidi="he-IL"/>
        </w:rPr>
        <w:t xml:space="preserve"> there is </w:t>
      </w:r>
      <w:r>
        <w:rPr>
          <w:rFonts w:hint="cs"/>
          <w:rtl/>
          <w:lang w:bidi="he-IL"/>
        </w:rPr>
        <w:t>קדושין תופסין בחייבי עשה וחייבי לאוין</w:t>
      </w:r>
      <w:r>
        <w:rPr>
          <w:lang w:bidi="he-IL"/>
        </w:rPr>
        <w:t xml:space="preserve">; only by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אין קדושין תופסין</w:t>
      </w:r>
      <w:r>
        <w:rPr>
          <w:lang w:bidi="he-IL"/>
        </w:rPr>
        <w:t>.</w:t>
      </w:r>
    </w:p>
  </w:footnote>
  <w:footnote w:id="8">
    <w:p w:rsidR="008E3530" w:rsidRDefault="008E3530" w:rsidP="00226B9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explains as follows.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ולא תהיה לאשה</w:t>
      </w:r>
      <w:r>
        <w:rPr>
          <w:lang w:bidi="he-IL"/>
        </w:rPr>
        <w:t xml:space="preserve"> excludes from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those woman that </w:t>
      </w:r>
      <w:r>
        <w:rPr>
          <w:rFonts w:hint="cs"/>
          <w:rtl/>
          <w:lang w:bidi="he-IL"/>
        </w:rPr>
        <w:t>אין קדושין תופסין בהן</w:t>
      </w:r>
      <w:r>
        <w:rPr>
          <w:lang w:bidi="he-IL"/>
        </w:rPr>
        <w:t xml:space="preserve"> and also those woman that are forbidden </w:t>
      </w:r>
      <w:r>
        <w:rPr>
          <w:rFonts w:hint="cs"/>
          <w:rtl/>
          <w:lang w:bidi="he-IL"/>
        </w:rPr>
        <w:t>(אין ראוין לקיימן)</w:t>
      </w:r>
      <w:r>
        <w:rPr>
          <w:lang w:bidi="he-IL"/>
        </w:rPr>
        <w:t xml:space="preserve">. When we are [first] </w:t>
      </w:r>
      <w:r>
        <w:rPr>
          <w:rFonts w:hint="cs"/>
          <w:rtl/>
          <w:lang w:bidi="he-IL"/>
        </w:rPr>
        <w:t>מרבה</w:t>
      </w:r>
      <w:r>
        <w:rPr>
          <w:lang w:bidi="he-IL"/>
        </w:rPr>
        <w:t xml:space="preserve"> [as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indicated as being appropriate] the </w:t>
      </w:r>
      <w:r>
        <w:rPr>
          <w:rFonts w:hint="cs"/>
          <w:rtl/>
          <w:lang w:bidi="he-IL"/>
        </w:rPr>
        <w:t>חייבי עשה</w:t>
      </w:r>
      <w:r>
        <w:rPr>
          <w:lang w:bidi="he-IL"/>
        </w:rPr>
        <w:t xml:space="preserve"> (who are [also] </w:t>
      </w:r>
      <w:r>
        <w:rPr>
          <w:rFonts w:hint="cs"/>
          <w:rtl/>
          <w:lang w:bidi="he-IL"/>
        </w:rPr>
        <w:t>אין ראוין לקיימן</w:t>
      </w:r>
      <w:r>
        <w:rPr>
          <w:lang w:bidi="he-IL"/>
        </w:rPr>
        <w:t xml:space="preserve">), this indicates that </w:t>
      </w:r>
      <w:r>
        <w:rPr>
          <w:rFonts w:hint="cs"/>
          <w:rtl/>
          <w:lang w:bidi="he-IL"/>
        </w:rPr>
        <w:t>אין ראוין לקיימן</w:t>
      </w:r>
      <w:r>
        <w:rPr>
          <w:lang w:bidi="he-IL"/>
        </w:rPr>
        <w:t xml:space="preserve"> is no restriction (for we are including </w:t>
      </w:r>
      <w:r>
        <w:rPr>
          <w:rFonts w:hint="cs"/>
          <w:rtl/>
          <w:lang w:bidi="he-IL"/>
        </w:rPr>
        <w:t>חייב עשה</w:t>
      </w:r>
      <w:r>
        <w:rPr>
          <w:lang w:bidi="he-IL"/>
        </w:rPr>
        <w:t xml:space="preserve"> who are </w:t>
      </w:r>
      <w:r>
        <w:rPr>
          <w:rFonts w:hint="cs"/>
          <w:rtl/>
          <w:lang w:bidi="he-IL"/>
        </w:rPr>
        <w:t>אין ראוין לקיימן</w:t>
      </w:r>
      <w:r>
        <w:rPr>
          <w:lang w:bidi="he-IL"/>
        </w:rPr>
        <w:t xml:space="preserve">); therefore we can also include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who are </w:t>
      </w:r>
      <w:r>
        <w:rPr>
          <w:rFonts w:hint="cs"/>
          <w:rtl/>
          <w:lang w:bidi="he-IL"/>
        </w:rPr>
        <w:t>אין ראוין לקיימן</w:t>
      </w:r>
      <w:r>
        <w:rPr>
          <w:lang w:bidi="he-IL"/>
        </w:rPr>
        <w:t xml:space="preserve">, but </w:t>
      </w:r>
      <w:r>
        <w:rPr>
          <w:rFonts w:hint="cs"/>
          <w:rtl/>
          <w:lang w:bidi="he-IL"/>
        </w:rPr>
        <w:t>קדושין תופסין בהן</w:t>
      </w:r>
      <w:r>
        <w:rPr>
          <w:lang w:bidi="he-IL"/>
        </w:rPr>
        <w:t xml:space="preserve"> like </w:t>
      </w:r>
      <w:r>
        <w:rPr>
          <w:rFonts w:hint="cs"/>
          <w:rtl/>
          <w:lang w:bidi="he-IL"/>
        </w:rPr>
        <w:t>חייבי עשה</w:t>
      </w:r>
      <w:r>
        <w:rPr>
          <w:lang w:bidi="he-IL"/>
        </w:rPr>
        <w:t xml:space="preserve">. We cannot however include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for they have an additional difficulty, since </w:t>
      </w:r>
      <w:r>
        <w:rPr>
          <w:rFonts w:hint="cs"/>
          <w:rtl/>
          <w:lang w:bidi="he-IL"/>
        </w:rPr>
        <w:t>אין קדושין תופסין בהן</w:t>
      </w:r>
      <w:r>
        <w:rPr>
          <w:lang w:bidi="he-IL"/>
        </w:rPr>
        <w:t xml:space="preserve">; therefore we need the additional </w:t>
      </w:r>
      <w:r>
        <w:rPr>
          <w:rFonts w:hint="cs"/>
          <w:rtl/>
          <w:lang w:bidi="he-IL"/>
        </w:rPr>
        <w:t>דרשה</w:t>
      </w:r>
      <w:r>
        <w:rPr>
          <w:lang w:bidi="he-IL"/>
        </w:rPr>
        <w:t xml:space="preserve"> to include even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>.</w:t>
      </w:r>
    </w:p>
  </w:footnote>
  <w:footnote w:id="9">
    <w:p w:rsidR="008E3530" w:rsidRDefault="008E3530" w:rsidP="00226B9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would place </w:t>
      </w:r>
      <w:r>
        <w:rPr>
          <w:rFonts w:hint="cs"/>
          <w:rtl/>
          <w:lang w:bidi="he-IL"/>
        </w:rPr>
        <w:t>חייבי עשה</w:t>
      </w:r>
      <w:r>
        <w:rPr>
          <w:lang w:bidi="he-IL"/>
        </w:rPr>
        <w:t xml:space="preserve"> (where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) and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(where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not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) in two distinct categories, how would we then derive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>?!</w:t>
      </w:r>
    </w:p>
  </w:footnote>
  <w:footnote w:id="10">
    <w:p w:rsidR="008E3530" w:rsidRDefault="008E3530" w:rsidP="000673F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שיטה מקובצת</w:t>
      </w:r>
      <w:r>
        <w:rPr>
          <w:lang w:bidi="he-IL"/>
        </w:rPr>
        <w:t xml:space="preserve"> who explains that the question is that instead of saying </w:t>
      </w:r>
      <w:r>
        <w:rPr>
          <w:rFonts w:hint="cs"/>
          <w:rtl/>
          <w:lang w:bidi="he-IL"/>
        </w:rPr>
        <w:t>ולא תהיה לאשה</w:t>
      </w:r>
      <w:r>
        <w:rPr>
          <w:lang w:bidi="he-IL"/>
        </w:rPr>
        <w:t xml:space="preserve"> (which excludes </w:t>
      </w:r>
      <w:r>
        <w:rPr>
          <w:rFonts w:hint="cs"/>
          <w:rtl/>
          <w:lang w:bidi="he-IL"/>
        </w:rPr>
        <w:t>אין בה הויה ואין ראויה לקיימה</w:t>
      </w:r>
      <w:r>
        <w:rPr>
          <w:lang w:bidi="he-IL"/>
        </w:rPr>
        <w:t xml:space="preserve">), it should state </w:t>
      </w:r>
      <w:r>
        <w:rPr>
          <w:rFonts w:hint="cs"/>
          <w:rtl/>
          <w:lang w:bidi="he-IL"/>
        </w:rPr>
        <w:t>וישאנה</w:t>
      </w:r>
      <w:r>
        <w:rPr>
          <w:lang w:bidi="he-IL"/>
        </w:rPr>
        <w:t xml:space="preserve">. This would teach us the </w:t>
      </w:r>
      <w:r>
        <w:rPr>
          <w:rFonts w:hint="cs"/>
          <w:rtl/>
          <w:lang w:bidi="he-IL"/>
        </w:rPr>
        <w:t>דין</w:t>
      </w:r>
      <w:r w:rsidR="000673F8">
        <w:rPr>
          <w:lang w:bidi="he-IL"/>
        </w:rPr>
        <w:t xml:space="preserve"> that the </w:t>
      </w:r>
      <w:r w:rsidR="000673F8">
        <w:rPr>
          <w:rFonts w:hint="cs"/>
          <w:rtl/>
          <w:lang w:bidi="he-IL"/>
        </w:rPr>
        <w:t>אנוס</w:t>
      </w:r>
      <w:r w:rsidR="000673F8">
        <w:rPr>
          <w:lang w:bidi="he-IL"/>
        </w:rPr>
        <w:t xml:space="preserve"> is required to marry the </w:t>
      </w:r>
      <w:r w:rsidR="000673F8">
        <w:rPr>
          <w:rFonts w:hint="cs"/>
          <w:rtl/>
          <w:lang w:bidi="he-IL"/>
        </w:rPr>
        <w:t>אנוסה</w:t>
      </w:r>
      <w:r w:rsidR="000673F8">
        <w:rPr>
          <w:lang w:bidi="he-IL"/>
        </w:rPr>
        <w:t>,</w:t>
      </w:r>
      <w:r>
        <w:rPr>
          <w:lang w:bidi="he-IL"/>
        </w:rPr>
        <w:t xml:space="preserve"> without exclu</w:t>
      </w:r>
      <w:r w:rsidR="000673F8">
        <w:rPr>
          <w:lang w:bidi="he-IL"/>
        </w:rPr>
        <w:t>di</w:t>
      </w:r>
      <w:r>
        <w:rPr>
          <w:lang w:bidi="he-IL"/>
        </w:rPr>
        <w:t>n</w:t>
      </w:r>
      <w:r w:rsidR="000673F8">
        <w:rPr>
          <w:lang w:bidi="he-IL"/>
        </w:rPr>
        <w:t xml:space="preserve">g  </w:t>
      </w:r>
      <w:r w:rsidR="000673F8">
        <w:rPr>
          <w:rFonts w:hint="cs"/>
          <w:rtl/>
          <w:lang w:bidi="he-IL"/>
        </w:rPr>
        <w:t>איסורי אישות</w:t>
      </w:r>
      <w:r w:rsidR="000673F8">
        <w:rPr>
          <w:lang w:bidi="he-IL"/>
        </w:rPr>
        <w:t xml:space="preserve"> from receiving </w:t>
      </w:r>
      <w:r w:rsidR="000673F8">
        <w:rPr>
          <w:rFonts w:hint="cs"/>
          <w:rtl/>
          <w:lang w:bidi="he-IL"/>
        </w:rPr>
        <w:t>קנס</w:t>
      </w:r>
      <w:r>
        <w:rPr>
          <w:lang w:bidi="he-IL"/>
        </w:rPr>
        <w:t>.</w:t>
      </w:r>
    </w:p>
  </w:footnote>
  <w:footnote w:id="11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previously stated that were it not for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ולו תהיה לאשה</w:t>
      </w:r>
      <w:r>
        <w:rPr>
          <w:lang w:bidi="he-IL"/>
        </w:rPr>
        <w:t xml:space="preserve"> all women would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  including </w:t>
      </w:r>
      <w:r>
        <w:rPr>
          <w:rFonts w:hint="cs"/>
          <w:rtl/>
          <w:lang w:bidi="he-IL"/>
        </w:rPr>
        <w:t>חייבי כריתות וכו'</w:t>
      </w:r>
      <w:r>
        <w:rPr>
          <w:lang w:bidi="he-IL"/>
        </w:rPr>
        <w:t xml:space="preserve">. </w:t>
      </w:r>
    </w:p>
  </w:footnote>
  <w:footnote w:id="12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word </w:t>
      </w:r>
      <w:r>
        <w:rPr>
          <w:rFonts w:hint="cs"/>
          <w:rtl/>
          <w:lang w:bidi="he-IL"/>
        </w:rPr>
        <w:t>תהיה (לאשה)</w:t>
      </w:r>
      <w:r>
        <w:rPr>
          <w:lang w:bidi="he-IL"/>
        </w:rPr>
        <w:t xml:space="preserve"> indicates that her consent is required. See previous footnote # 9.</w:t>
      </w:r>
    </w:p>
  </w:footnote>
  <w:footnote w:id="13">
    <w:p w:rsidR="008E3530" w:rsidRDefault="008E3530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סוכת דוד אות צח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530" w:rsidRPr="00BD691A" w:rsidRDefault="008E3530" w:rsidP="00974F1F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כט,ב תוס' ד"ה וחד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6DD6"/>
    <w:rsid w:val="00010444"/>
    <w:rsid w:val="000673F8"/>
    <w:rsid w:val="000911A7"/>
    <w:rsid w:val="000A1111"/>
    <w:rsid w:val="000F6316"/>
    <w:rsid w:val="00116DD6"/>
    <w:rsid w:val="001357A2"/>
    <w:rsid w:val="00184D2E"/>
    <w:rsid w:val="0020216B"/>
    <w:rsid w:val="00210A1E"/>
    <w:rsid w:val="00226B96"/>
    <w:rsid w:val="00230789"/>
    <w:rsid w:val="002543D5"/>
    <w:rsid w:val="002771F9"/>
    <w:rsid w:val="00315768"/>
    <w:rsid w:val="003F6705"/>
    <w:rsid w:val="0042075E"/>
    <w:rsid w:val="00435034"/>
    <w:rsid w:val="00461104"/>
    <w:rsid w:val="004C1785"/>
    <w:rsid w:val="0051786D"/>
    <w:rsid w:val="005240F9"/>
    <w:rsid w:val="00624D5B"/>
    <w:rsid w:val="006907E2"/>
    <w:rsid w:val="006C2ACE"/>
    <w:rsid w:val="00737997"/>
    <w:rsid w:val="007552E7"/>
    <w:rsid w:val="0076331A"/>
    <w:rsid w:val="007742AA"/>
    <w:rsid w:val="007B52AD"/>
    <w:rsid w:val="007B5406"/>
    <w:rsid w:val="00816504"/>
    <w:rsid w:val="0085744A"/>
    <w:rsid w:val="0089054C"/>
    <w:rsid w:val="00895BDF"/>
    <w:rsid w:val="008E3530"/>
    <w:rsid w:val="00953446"/>
    <w:rsid w:val="00974F1F"/>
    <w:rsid w:val="00B8040D"/>
    <w:rsid w:val="00BB06FF"/>
    <w:rsid w:val="00BD0620"/>
    <w:rsid w:val="00BD691A"/>
    <w:rsid w:val="00C3742D"/>
    <w:rsid w:val="00C97E05"/>
    <w:rsid w:val="00CA1200"/>
    <w:rsid w:val="00CB543B"/>
    <w:rsid w:val="00D54370"/>
    <w:rsid w:val="00D55E4B"/>
    <w:rsid w:val="00D643EC"/>
    <w:rsid w:val="00D80DE2"/>
    <w:rsid w:val="00DE21DD"/>
    <w:rsid w:val="00E4144C"/>
    <w:rsid w:val="00E57B4E"/>
    <w:rsid w:val="00F270EA"/>
    <w:rsid w:val="00FB1885"/>
    <w:rsid w:val="00FC408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38D35-3ECB-4AEF-9458-3D79C2F1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974F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F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040D"/>
  </w:style>
  <w:style w:type="paragraph" w:styleId="FootnoteText">
    <w:name w:val="footnote text"/>
    <w:basedOn w:val="Normal"/>
    <w:semiHidden/>
    <w:rsid w:val="00CB543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B54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וחד לאיתויי חייבי לאוין</vt:lpstr>
    </vt:vector>
  </TitlesOfParts>
  <Company> 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וחד לאיתויי חייבי לאוין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