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1B" w:rsidRPr="00605E32" w:rsidRDefault="00A6141B" w:rsidP="00A6141B">
      <w:pPr>
        <w:bidi/>
        <w:rPr>
          <w:b/>
          <w:bCs/>
          <w:sz w:val="20"/>
          <w:szCs w:val="20"/>
          <w:lang w:bidi="he-IL"/>
        </w:rPr>
      </w:pPr>
      <w:bookmarkStart w:id="0" w:name="_GoBack"/>
      <w:bookmarkEnd w:id="0"/>
      <w:r w:rsidRPr="00A6141B">
        <w:rPr>
          <w:rFonts w:hint="cs"/>
          <w:b/>
          <w:bCs/>
          <w:sz w:val="34"/>
          <w:szCs w:val="34"/>
          <w:rtl/>
        </w:rPr>
        <w:t>מאי</w:t>
      </w:r>
      <w:r w:rsidRPr="00A6141B">
        <w:rPr>
          <w:rFonts w:hint="cs"/>
          <w:b/>
          <w:bCs/>
          <w:sz w:val="30"/>
          <w:szCs w:val="30"/>
          <w:rtl/>
        </w:rPr>
        <w:t xml:space="preserve"> בינייהו</w:t>
      </w:r>
      <w:r w:rsidR="00605E32">
        <w:rPr>
          <w:rFonts w:hint="cs"/>
          <w:rtl/>
          <w:lang w:bidi="he-IL"/>
        </w:rPr>
        <w:t xml:space="preserve"> </w:t>
      </w:r>
      <w:r w:rsidR="00605E32">
        <w:rPr>
          <w:rtl/>
          <w:lang w:bidi="he-IL"/>
        </w:rPr>
        <w:t>–</w:t>
      </w:r>
      <w:r w:rsidR="00605E32">
        <w:rPr>
          <w:rFonts w:hint="cs"/>
          <w:rtl/>
          <w:lang w:bidi="he-IL"/>
        </w:rPr>
        <w:t xml:space="preserve"> </w:t>
      </w:r>
      <w:r w:rsidR="00605E32" w:rsidRPr="00605E32">
        <w:rPr>
          <w:b/>
          <w:bCs/>
          <w:sz w:val="26"/>
          <w:szCs w:val="26"/>
          <w:lang w:bidi="he-IL"/>
        </w:rPr>
        <w:t>What is the difference between them</w:t>
      </w:r>
      <w:r w:rsidR="00605E32">
        <w:rPr>
          <w:b/>
          <w:bCs/>
          <w:sz w:val="26"/>
          <w:szCs w:val="26"/>
          <w:lang w:bidi="he-IL"/>
        </w:rPr>
        <w:t xml:space="preserve">                                              </w:t>
      </w:r>
    </w:p>
    <w:p w:rsidR="00A6141B" w:rsidRPr="00605E32" w:rsidRDefault="00A6141B" w:rsidP="00A6141B">
      <w:pPr>
        <w:bidi/>
        <w:rPr>
          <w:rFonts w:hint="cs"/>
          <w:b/>
          <w:bCs/>
          <w:sz w:val="22"/>
          <w:szCs w:val="22"/>
          <w:rtl/>
          <w:lang w:bidi="he-IL"/>
        </w:rPr>
      </w:pPr>
    </w:p>
    <w:p w:rsidR="00A6141B" w:rsidRDefault="00C96B25" w:rsidP="00C96B25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u w:val="single"/>
          <w:lang w:bidi="he-IL"/>
        </w:rPr>
        <w:t>Overview</w:t>
      </w:r>
    </w:p>
    <w:p w:rsidR="00C96B25" w:rsidRPr="00C96B25" w:rsidRDefault="00C96B25" w:rsidP="00C96B25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is searching for a difference between the requirement of </w:t>
      </w:r>
      <w:r>
        <w:rPr>
          <w:rFonts w:hint="cs"/>
          <w:sz w:val="26"/>
          <w:szCs w:val="26"/>
          <w:rtl/>
          <w:lang w:bidi="he-IL"/>
        </w:rPr>
        <w:t>אית בה הויה</w:t>
      </w:r>
      <w:r>
        <w:rPr>
          <w:sz w:val="26"/>
          <w:szCs w:val="26"/>
          <w:lang w:bidi="he-IL"/>
        </w:rPr>
        <w:t xml:space="preserve"> and </w:t>
      </w:r>
      <w:r>
        <w:rPr>
          <w:rFonts w:hint="cs"/>
          <w:sz w:val="26"/>
          <w:szCs w:val="26"/>
          <w:rtl/>
          <w:lang w:bidi="he-IL"/>
        </w:rPr>
        <w:t>ראויה לקיימה</w:t>
      </w:r>
      <w:r>
        <w:rPr>
          <w:sz w:val="26"/>
          <w:szCs w:val="26"/>
          <w:lang w:bidi="he-IL"/>
        </w:rPr>
        <w:t xml:space="preserve">, according to </w:t>
      </w:r>
      <w:r>
        <w:rPr>
          <w:rFonts w:hint="cs"/>
          <w:sz w:val="26"/>
          <w:szCs w:val="26"/>
          <w:rtl/>
          <w:lang w:bidi="he-IL"/>
        </w:rPr>
        <w:t>ר"ע</w:t>
      </w:r>
      <w:r>
        <w:rPr>
          <w:sz w:val="26"/>
          <w:szCs w:val="26"/>
          <w:lang w:bidi="he-IL"/>
        </w:rPr>
        <w:t xml:space="preserve"> who maintains that by all </w:t>
      </w:r>
      <w:r>
        <w:rPr>
          <w:rFonts w:hint="cs"/>
          <w:sz w:val="26"/>
          <w:szCs w:val="26"/>
          <w:rtl/>
          <w:lang w:bidi="he-IL"/>
        </w:rPr>
        <w:t>איסורים</w:t>
      </w:r>
      <w:r>
        <w:rPr>
          <w:sz w:val="26"/>
          <w:szCs w:val="26"/>
          <w:lang w:bidi="he-IL"/>
        </w:rPr>
        <w:t xml:space="preserve"> (including </w:t>
      </w:r>
      <w:r>
        <w:rPr>
          <w:rFonts w:hint="cs"/>
          <w:sz w:val="26"/>
          <w:szCs w:val="26"/>
          <w:rtl/>
          <w:lang w:bidi="he-IL"/>
        </w:rPr>
        <w:t>חייבי עשה</w:t>
      </w:r>
      <w:r>
        <w:rPr>
          <w:sz w:val="26"/>
          <w:szCs w:val="26"/>
          <w:lang w:bidi="he-IL"/>
        </w:rPr>
        <w:t xml:space="preserve">) </w:t>
      </w:r>
      <w:r>
        <w:rPr>
          <w:rFonts w:hint="cs"/>
          <w:sz w:val="26"/>
          <w:szCs w:val="26"/>
          <w:rtl/>
          <w:lang w:bidi="he-IL"/>
        </w:rPr>
        <w:t>אין קדושין תופסין בה</w:t>
      </w:r>
      <w:r>
        <w:rPr>
          <w:sz w:val="26"/>
          <w:szCs w:val="26"/>
          <w:lang w:bidi="he-IL"/>
        </w:rPr>
        <w:t xml:space="preserve">. This </w:t>
      </w:r>
      <w:r>
        <w:rPr>
          <w:rFonts w:hint="cs"/>
          <w:sz w:val="26"/>
          <w:szCs w:val="26"/>
          <w:rtl/>
          <w:lang w:bidi="he-IL"/>
        </w:rPr>
        <w:t>תו"י</w:t>
      </w:r>
      <w:r>
        <w:rPr>
          <w:sz w:val="26"/>
          <w:szCs w:val="26"/>
          <w:lang w:bidi="he-IL"/>
        </w:rPr>
        <w:t xml:space="preserve"> offers an alternate solution. </w:t>
      </w:r>
    </w:p>
    <w:p w:rsidR="00A6141B" w:rsidRDefault="00F1306D" w:rsidP="00F1306D">
      <w:pPr>
        <w:bidi/>
        <w:jc w:val="center"/>
        <w:rPr>
          <w:sz w:val="22"/>
          <w:szCs w:val="22"/>
          <w:rtl/>
          <w:lang w:bidi="he-IL"/>
        </w:rPr>
      </w:pPr>
      <w:r>
        <w:rPr>
          <w:sz w:val="22"/>
          <w:szCs w:val="22"/>
          <w:lang w:bidi="he-IL"/>
        </w:rPr>
        <w:t>-------------------</w:t>
      </w:r>
    </w:p>
    <w:p w:rsidR="00A6141B" w:rsidRDefault="00A6141B" w:rsidP="00605E32">
      <w:pPr>
        <w:bidi/>
        <w:jc w:val="both"/>
        <w:rPr>
          <w:rFonts w:cs="Aharoni" w:hint="cs"/>
          <w:sz w:val="26"/>
          <w:szCs w:val="26"/>
          <w:rtl/>
          <w:lang w:bidi="he-IL"/>
        </w:rPr>
      </w:pPr>
      <w:r w:rsidRPr="00A6141B">
        <w:rPr>
          <w:rFonts w:cs="Aharoni" w:hint="cs"/>
          <w:sz w:val="26"/>
          <w:szCs w:val="26"/>
          <w:rtl/>
        </w:rPr>
        <w:t>תימה אמאי לא קאמר איכא בינייהו סוטה שאירסה וזינתה תחתיו שלא כדרכה וגירשה</w:t>
      </w:r>
      <w:r>
        <w:rPr>
          <w:rFonts w:cs="Aharoni" w:hint="cs"/>
          <w:sz w:val="26"/>
          <w:szCs w:val="26"/>
          <w:rtl/>
          <w:lang w:bidi="he-IL"/>
        </w:rPr>
        <w:t xml:space="preserve"> </w:t>
      </w:r>
      <w:r>
        <w:rPr>
          <w:rFonts w:cs="Aharoni"/>
          <w:sz w:val="26"/>
          <w:szCs w:val="26"/>
          <w:rtl/>
          <w:lang w:bidi="he-IL"/>
        </w:rPr>
        <w:t>–</w:t>
      </w:r>
    </w:p>
    <w:p w:rsidR="00605E32" w:rsidRPr="00C752A9" w:rsidRDefault="00605E32" w:rsidP="00605E32">
      <w:pPr>
        <w:jc w:val="both"/>
        <w:rPr>
          <w:sz w:val="22"/>
          <w:szCs w:val="22"/>
          <w:lang w:bidi="he-IL"/>
        </w:rPr>
      </w:pPr>
      <w:r>
        <w:rPr>
          <w:rFonts w:cs="Aharoni"/>
          <w:b/>
          <w:bCs/>
          <w:sz w:val="26"/>
          <w:szCs w:val="26"/>
          <w:lang w:bidi="he-IL"/>
        </w:rPr>
        <w:t xml:space="preserve">It is astonishing! Why did not </w:t>
      </w:r>
      <w:r>
        <w:rPr>
          <w:rFonts w:cs="Aharoni"/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</w:t>
      </w:r>
      <w:r w:rsidRPr="00605E32">
        <w:rPr>
          <w:b/>
          <w:bCs/>
          <w:sz w:val="26"/>
          <w:szCs w:val="26"/>
          <w:lang w:bidi="he-IL"/>
        </w:rPr>
        <w:t>state</w:t>
      </w:r>
      <w:r>
        <w:rPr>
          <w:b/>
          <w:bCs/>
          <w:sz w:val="26"/>
          <w:szCs w:val="26"/>
          <w:lang w:bidi="he-IL"/>
        </w:rPr>
        <w:t xml:space="preserve">; ‘there is a difference between them, </w:t>
      </w:r>
      <w:r>
        <w:rPr>
          <w:sz w:val="26"/>
          <w:szCs w:val="26"/>
          <w:lang w:bidi="he-IL"/>
        </w:rPr>
        <w:t xml:space="preserve">in the case of a </w:t>
      </w:r>
      <w:r>
        <w:rPr>
          <w:rFonts w:hint="cs"/>
          <w:b/>
          <w:bCs/>
          <w:sz w:val="26"/>
          <w:szCs w:val="26"/>
          <w:rtl/>
          <w:lang w:bidi="he-IL"/>
        </w:rPr>
        <w:t>סוטה</w:t>
      </w:r>
      <w:r w:rsidR="008C216A">
        <w:rPr>
          <w:b/>
          <w:bCs/>
          <w:sz w:val="26"/>
          <w:szCs w:val="26"/>
          <w:lang w:bidi="he-IL"/>
        </w:rPr>
        <w:t>’;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which means </w:t>
      </w:r>
      <w:r>
        <w:rPr>
          <w:b/>
          <w:bCs/>
          <w:sz w:val="26"/>
          <w:szCs w:val="26"/>
          <w:lang w:bidi="he-IL"/>
        </w:rPr>
        <w:t xml:space="preserve">that he was </w:t>
      </w:r>
      <w:r>
        <w:rPr>
          <w:rFonts w:hint="cs"/>
          <w:b/>
          <w:bCs/>
          <w:sz w:val="26"/>
          <w:szCs w:val="26"/>
          <w:rtl/>
          <w:lang w:bidi="he-IL"/>
        </w:rPr>
        <w:t>מקדש</w:t>
      </w:r>
      <w:r w:rsidR="00A71F03">
        <w:rPr>
          <w:rStyle w:val="FootnoteReference"/>
          <w:b/>
          <w:bCs/>
          <w:sz w:val="26"/>
          <w:szCs w:val="26"/>
          <w:rtl/>
          <w:lang w:bidi="he-IL"/>
        </w:rPr>
        <w:footnoteReference w:id="1"/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a woman </w:t>
      </w:r>
      <w:r w:rsidR="00B73C40">
        <w:rPr>
          <w:b/>
          <w:bCs/>
          <w:sz w:val="26"/>
          <w:szCs w:val="26"/>
          <w:lang w:bidi="he-IL"/>
        </w:rPr>
        <w:t xml:space="preserve">and she committed adultery </w:t>
      </w:r>
      <w:r w:rsidR="00B73C40">
        <w:rPr>
          <w:rFonts w:hint="cs"/>
          <w:b/>
          <w:bCs/>
          <w:sz w:val="26"/>
          <w:szCs w:val="26"/>
          <w:rtl/>
          <w:lang w:bidi="he-IL"/>
        </w:rPr>
        <w:t>שלא כדרכה</w:t>
      </w:r>
      <w:r w:rsidR="00A71F03">
        <w:rPr>
          <w:rStyle w:val="FootnoteReference"/>
          <w:b/>
          <w:bCs/>
          <w:sz w:val="26"/>
          <w:szCs w:val="26"/>
          <w:rtl/>
          <w:lang w:bidi="he-IL"/>
        </w:rPr>
        <w:footnoteReference w:id="2"/>
      </w:r>
      <w:r w:rsidR="00B73C40">
        <w:rPr>
          <w:b/>
          <w:bCs/>
          <w:sz w:val="26"/>
          <w:szCs w:val="26"/>
          <w:lang w:bidi="he-IL"/>
        </w:rPr>
        <w:t xml:space="preserve"> while she was </w:t>
      </w:r>
      <w:r w:rsidR="00B73C40">
        <w:rPr>
          <w:rFonts w:hint="cs"/>
          <w:b/>
          <w:bCs/>
          <w:sz w:val="26"/>
          <w:szCs w:val="26"/>
          <w:rtl/>
          <w:lang w:bidi="he-IL"/>
        </w:rPr>
        <w:t>מקודשת</w:t>
      </w:r>
      <w:r w:rsidR="00B73C40">
        <w:rPr>
          <w:b/>
          <w:bCs/>
          <w:sz w:val="26"/>
          <w:szCs w:val="26"/>
          <w:lang w:bidi="he-IL"/>
        </w:rPr>
        <w:t xml:space="preserve"> to him and</w:t>
      </w:r>
      <w:r w:rsidR="008C216A">
        <w:rPr>
          <w:b/>
          <w:bCs/>
          <w:sz w:val="26"/>
          <w:szCs w:val="26"/>
          <w:lang w:bidi="he-IL"/>
        </w:rPr>
        <w:t>,</w:t>
      </w:r>
      <w:r w:rsidR="00B73C40">
        <w:rPr>
          <w:b/>
          <w:bCs/>
          <w:sz w:val="26"/>
          <w:szCs w:val="26"/>
          <w:lang w:bidi="he-IL"/>
        </w:rPr>
        <w:t xml:space="preserve"> </w:t>
      </w:r>
      <w:r w:rsidR="00B73C40">
        <w:rPr>
          <w:sz w:val="26"/>
          <w:szCs w:val="26"/>
          <w:lang w:bidi="he-IL"/>
        </w:rPr>
        <w:t xml:space="preserve">the husband subsequently </w:t>
      </w:r>
      <w:r w:rsidR="00B73C40">
        <w:rPr>
          <w:b/>
          <w:bCs/>
          <w:sz w:val="26"/>
          <w:szCs w:val="26"/>
          <w:lang w:bidi="he-IL"/>
        </w:rPr>
        <w:t>divorced her</w:t>
      </w:r>
      <w:r w:rsidR="00A71F03">
        <w:rPr>
          <w:rStyle w:val="FootnoteReference"/>
          <w:b/>
          <w:bCs/>
          <w:sz w:val="26"/>
          <w:szCs w:val="26"/>
          <w:lang w:bidi="he-IL"/>
        </w:rPr>
        <w:footnoteReference w:id="3"/>
      </w:r>
      <w:r w:rsidR="00B73C40">
        <w:rPr>
          <w:b/>
          <w:bCs/>
          <w:sz w:val="26"/>
          <w:szCs w:val="26"/>
          <w:lang w:bidi="he-IL"/>
        </w:rPr>
        <w:t xml:space="preserve">. </w:t>
      </w:r>
      <w:r w:rsidR="00B73C40" w:rsidRPr="00C752A9">
        <w:rPr>
          <w:sz w:val="22"/>
          <w:szCs w:val="22"/>
          <w:lang w:bidi="he-IL"/>
        </w:rPr>
        <w:t>In this case the husband is not permitted to live with her</w:t>
      </w:r>
      <w:r w:rsidR="00AE47B4">
        <w:rPr>
          <w:sz w:val="22"/>
          <w:szCs w:val="22"/>
          <w:lang w:bidi="he-IL"/>
        </w:rPr>
        <w:t>,</w:t>
      </w:r>
      <w:r w:rsidR="00B73C40" w:rsidRPr="00C752A9">
        <w:rPr>
          <w:sz w:val="22"/>
          <w:szCs w:val="22"/>
          <w:lang w:bidi="he-IL"/>
        </w:rPr>
        <w:t xml:space="preserve"> </w:t>
      </w:r>
      <w:r w:rsidR="008C216A" w:rsidRPr="00C752A9">
        <w:rPr>
          <w:sz w:val="22"/>
          <w:szCs w:val="22"/>
          <w:lang w:bidi="he-IL"/>
        </w:rPr>
        <w:t xml:space="preserve">since </w:t>
      </w:r>
      <w:r w:rsidR="00B73C40" w:rsidRPr="00C752A9">
        <w:rPr>
          <w:sz w:val="22"/>
          <w:szCs w:val="22"/>
          <w:lang w:bidi="he-IL"/>
        </w:rPr>
        <w:t xml:space="preserve">she was </w:t>
      </w:r>
      <w:r w:rsidR="00B73C40" w:rsidRPr="00C752A9">
        <w:rPr>
          <w:rFonts w:hint="cs"/>
          <w:sz w:val="22"/>
          <w:szCs w:val="22"/>
          <w:rtl/>
          <w:lang w:bidi="he-IL"/>
        </w:rPr>
        <w:t>מזנה תחתיו</w:t>
      </w:r>
      <w:r w:rsidR="00B6778D" w:rsidRPr="00C752A9">
        <w:rPr>
          <w:rStyle w:val="FootnoteReference"/>
          <w:sz w:val="22"/>
          <w:szCs w:val="22"/>
          <w:rtl/>
          <w:lang w:bidi="he-IL"/>
        </w:rPr>
        <w:footnoteReference w:id="4"/>
      </w:r>
      <w:r w:rsidR="005E786D">
        <w:rPr>
          <w:sz w:val="22"/>
          <w:szCs w:val="22"/>
          <w:lang w:bidi="he-IL"/>
        </w:rPr>
        <w:t>. However if he would be</w:t>
      </w:r>
      <w:r w:rsidR="00AE47B4">
        <w:rPr>
          <w:sz w:val="22"/>
          <w:szCs w:val="22"/>
          <w:lang w:bidi="he-IL"/>
        </w:rPr>
        <w:t xml:space="preserve"> subsequently</w:t>
      </w:r>
      <w:r w:rsidR="00B73C40" w:rsidRPr="00C752A9">
        <w:rPr>
          <w:sz w:val="22"/>
          <w:szCs w:val="22"/>
          <w:lang w:bidi="he-IL"/>
        </w:rPr>
        <w:t xml:space="preserve"> </w:t>
      </w:r>
      <w:r w:rsidR="00B73C40" w:rsidRPr="00C752A9">
        <w:rPr>
          <w:rFonts w:hint="cs"/>
          <w:sz w:val="22"/>
          <w:szCs w:val="22"/>
          <w:rtl/>
          <w:lang w:bidi="he-IL"/>
        </w:rPr>
        <w:t>מקדש</w:t>
      </w:r>
      <w:r w:rsidR="00B73C40" w:rsidRPr="00C752A9">
        <w:rPr>
          <w:sz w:val="22"/>
          <w:szCs w:val="22"/>
          <w:lang w:bidi="he-IL"/>
        </w:rPr>
        <w:t xml:space="preserve"> her -</w:t>
      </w:r>
      <w:r w:rsidRPr="00C752A9">
        <w:rPr>
          <w:sz w:val="22"/>
          <w:szCs w:val="22"/>
          <w:lang w:bidi="he-IL"/>
        </w:rPr>
        <w:t xml:space="preserve"> </w:t>
      </w:r>
    </w:p>
    <w:p w:rsidR="00D80DE2" w:rsidRDefault="00A6141B" w:rsidP="00B73C40">
      <w:pPr>
        <w:bidi/>
        <w:jc w:val="both"/>
        <w:rPr>
          <w:rFonts w:cs="Aharoni"/>
          <w:sz w:val="26"/>
          <w:szCs w:val="26"/>
          <w:rtl/>
          <w:lang w:bidi="he-IL"/>
        </w:rPr>
      </w:pPr>
      <w:r w:rsidRPr="00A6141B">
        <w:rPr>
          <w:rFonts w:cs="Aharoni" w:hint="cs"/>
          <w:sz w:val="26"/>
          <w:szCs w:val="26"/>
          <w:rtl/>
        </w:rPr>
        <w:t>דאית בה הויה לכ</w:t>
      </w:r>
      <w:r>
        <w:rPr>
          <w:rFonts w:cs="Aharoni" w:hint="cs"/>
          <w:sz w:val="26"/>
          <w:szCs w:val="26"/>
          <w:rtl/>
          <w:lang w:bidi="he-IL"/>
        </w:rPr>
        <w:t xml:space="preserve">ולי </w:t>
      </w:r>
      <w:r w:rsidRPr="00A6141B">
        <w:rPr>
          <w:rFonts w:cs="Aharoni" w:hint="cs"/>
          <w:sz w:val="26"/>
          <w:szCs w:val="26"/>
          <w:rtl/>
        </w:rPr>
        <w:t>ע</w:t>
      </w:r>
      <w:r>
        <w:rPr>
          <w:rFonts w:cs="Aharoni" w:hint="cs"/>
          <w:sz w:val="26"/>
          <w:szCs w:val="26"/>
          <w:rtl/>
          <w:lang w:bidi="he-IL"/>
        </w:rPr>
        <w:t>למא</w:t>
      </w:r>
      <w:r w:rsidRPr="00A6141B">
        <w:rPr>
          <w:rFonts w:cs="Aharoni" w:hint="cs"/>
          <w:sz w:val="26"/>
          <w:szCs w:val="26"/>
          <w:rtl/>
        </w:rPr>
        <w:t xml:space="preserve"> כדאמרינן בסוף החולץ</w:t>
      </w:r>
      <w:r w:rsidR="00B73C40">
        <w:rPr>
          <w:rStyle w:val="FootnoteReference"/>
          <w:rFonts w:cs="Aharoni"/>
          <w:sz w:val="26"/>
          <w:szCs w:val="26"/>
          <w:rtl/>
        </w:rPr>
        <w:footnoteReference w:id="5"/>
      </w:r>
      <w:r w:rsidRPr="00A6141B">
        <w:rPr>
          <w:rFonts w:cs="Aharoni" w:hint="cs"/>
          <w:sz w:val="26"/>
          <w:szCs w:val="26"/>
          <w:rtl/>
        </w:rPr>
        <w:t xml:space="preserve"> הכל מודים בבא על הסוטה שאין הוולד ממזר)</w:t>
      </w:r>
      <w:r w:rsidR="00B73C40">
        <w:rPr>
          <w:rFonts w:cs="Aharoni" w:hint="cs"/>
          <w:sz w:val="26"/>
          <w:szCs w:val="26"/>
          <w:rtl/>
          <w:lang w:bidi="he-IL"/>
        </w:rPr>
        <w:t xml:space="preserve"> </w:t>
      </w:r>
      <w:r w:rsidR="00B73C40">
        <w:rPr>
          <w:rFonts w:cs="Aharoni"/>
          <w:sz w:val="26"/>
          <w:szCs w:val="26"/>
          <w:lang w:bidi="he-IL"/>
        </w:rPr>
        <w:t>-</w:t>
      </w:r>
    </w:p>
    <w:p w:rsidR="00B73C40" w:rsidRPr="00C752A9" w:rsidRDefault="00B73C40" w:rsidP="00F362E7">
      <w:pPr>
        <w:jc w:val="both"/>
        <w:rPr>
          <w:b/>
          <w:bCs/>
          <w:sz w:val="18"/>
          <w:szCs w:val="18"/>
          <w:lang w:bidi="he-IL"/>
        </w:rPr>
      </w:pPr>
      <w:r>
        <w:rPr>
          <w:b/>
          <w:bCs/>
          <w:sz w:val="26"/>
          <w:szCs w:val="26"/>
        </w:rPr>
        <w:t>Then everyone</w:t>
      </w:r>
      <w:r w:rsidR="008C216A">
        <w:rPr>
          <w:rStyle w:val="FootnoteReference"/>
          <w:b/>
          <w:bCs/>
          <w:sz w:val="26"/>
          <w:szCs w:val="26"/>
        </w:rPr>
        <w:footnoteReference w:id="6"/>
      </w:r>
      <w:r>
        <w:rPr>
          <w:b/>
          <w:bCs/>
          <w:sz w:val="26"/>
          <w:szCs w:val="26"/>
        </w:rPr>
        <w:t xml:space="preserve"> agrees that the </w:t>
      </w:r>
      <w:r>
        <w:rPr>
          <w:rFonts w:hint="cs"/>
          <w:b/>
          <w:bCs/>
          <w:sz w:val="26"/>
          <w:szCs w:val="26"/>
          <w:rtl/>
          <w:lang w:bidi="he-IL"/>
        </w:rPr>
        <w:t>קידושין</w:t>
      </w:r>
      <w:r>
        <w:rPr>
          <w:b/>
          <w:bCs/>
          <w:sz w:val="26"/>
          <w:szCs w:val="26"/>
          <w:lang w:bidi="he-IL"/>
        </w:rPr>
        <w:t xml:space="preserve"> are </w:t>
      </w:r>
      <w:r>
        <w:rPr>
          <w:rFonts w:hint="cs"/>
          <w:b/>
          <w:bCs/>
          <w:sz w:val="26"/>
          <w:szCs w:val="26"/>
          <w:rtl/>
          <w:lang w:bidi="he-IL"/>
        </w:rPr>
        <w:t>תופסין</w:t>
      </w:r>
      <w:r w:rsidR="008C216A">
        <w:rPr>
          <w:b/>
          <w:bCs/>
          <w:sz w:val="26"/>
          <w:szCs w:val="26"/>
          <w:lang w:bidi="he-IL"/>
        </w:rPr>
        <w:t>,</w:t>
      </w:r>
      <w:r>
        <w:rPr>
          <w:b/>
          <w:bCs/>
          <w:sz w:val="26"/>
          <w:szCs w:val="26"/>
          <w:lang w:bidi="he-IL"/>
        </w:rPr>
        <w:t xml:space="preserve"> as </w:t>
      </w: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גמרא</w:t>
      </w:r>
      <w:r>
        <w:rPr>
          <w:sz w:val="26"/>
          <w:szCs w:val="26"/>
          <w:lang w:bidi="he-IL"/>
        </w:rPr>
        <w:t xml:space="preserve"> </w:t>
      </w:r>
      <w:r>
        <w:rPr>
          <w:b/>
          <w:bCs/>
          <w:sz w:val="26"/>
          <w:szCs w:val="26"/>
          <w:lang w:bidi="he-IL"/>
        </w:rPr>
        <w:t xml:space="preserve">states in the end of </w:t>
      </w:r>
      <w:r>
        <w:rPr>
          <w:rFonts w:hint="cs"/>
          <w:sz w:val="26"/>
          <w:szCs w:val="26"/>
          <w:rtl/>
          <w:lang w:bidi="he-IL"/>
        </w:rPr>
        <w:t xml:space="preserve">פרק </w:t>
      </w:r>
      <w:r>
        <w:rPr>
          <w:rFonts w:hint="cs"/>
          <w:b/>
          <w:bCs/>
          <w:sz w:val="26"/>
          <w:szCs w:val="26"/>
          <w:rtl/>
          <w:lang w:bidi="he-IL"/>
        </w:rPr>
        <w:t>החולץ</w:t>
      </w:r>
      <w:r>
        <w:rPr>
          <w:b/>
          <w:bCs/>
          <w:sz w:val="26"/>
          <w:szCs w:val="26"/>
          <w:lang w:bidi="he-IL"/>
        </w:rPr>
        <w:t xml:space="preserve">; everyone agrees that if </w:t>
      </w:r>
      <w:r>
        <w:rPr>
          <w:sz w:val="26"/>
          <w:szCs w:val="26"/>
          <w:lang w:bidi="he-IL"/>
        </w:rPr>
        <w:t xml:space="preserve">the husband </w:t>
      </w:r>
      <w:r>
        <w:rPr>
          <w:b/>
          <w:bCs/>
          <w:sz w:val="26"/>
          <w:szCs w:val="26"/>
          <w:lang w:bidi="he-IL"/>
        </w:rPr>
        <w:t xml:space="preserve">has relations with </w:t>
      </w:r>
      <w:r>
        <w:rPr>
          <w:sz w:val="26"/>
          <w:szCs w:val="26"/>
          <w:lang w:bidi="he-IL"/>
        </w:rPr>
        <w:t>his</w:t>
      </w:r>
      <w:r w:rsidR="00F1306D">
        <w:rPr>
          <w:sz w:val="26"/>
          <w:szCs w:val="26"/>
          <w:lang w:bidi="he-IL"/>
        </w:rPr>
        <w:t xml:space="preserve"> (former)</w:t>
      </w:r>
      <w:r>
        <w:rPr>
          <w:sz w:val="26"/>
          <w:szCs w:val="26"/>
          <w:lang w:bidi="he-IL"/>
        </w:rPr>
        <w:t xml:space="preserve"> </w:t>
      </w:r>
      <w:r>
        <w:rPr>
          <w:rFonts w:hint="cs"/>
          <w:b/>
          <w:bCs/>
          <w:sz w:val="26"/>
          <w:szCs w:val="26"/>
          <w:rtl/>
          <w:lang w:bidi="he-IL"/>
        </w:rPr>
        <w:t>סוטה</w:t>
      </w:r>
      <w:r>
        <w:rPr>
          <w:b/>
          <w:bCs/>
          <w:sz w:val="26"/>
          <w:szCs w:val="26"/>
          <w:lang w:bidi="he-IL"/>
        </w:rPr>
        <w:t xml:space="preserve"> </w:t>
      </w:r>
      <w:r>
        <w:rPr>
          <w:sz w:val="26"/>
          <w:szCs w:val="26"/>
          <w:lang w:bidi="he-IL"/>
        </w:rPr>
        <w:t xml:space="preserve">wife, </w:t>
      </w:r>
      <w:r>
        <w:rPr>
          <w:b/>
          <w:bCs/>
          <w:sz w:val="26"/>
          <w:szCs w:val="26"/>
          <w:lang w:bidi="he-IL"/>
        </w:rPr>
        <w:t xml:space="preserve">the child is not a </w:t>
      </w:r>
      <w:r>
        <w:rPr>
          <w:rFonts w:hint="cs"/>
          <w:b/>
          <w:bCs/>
          <w:sz w:val="26"/>
          <w:szCs w:val="26"/>
          <w:rtl/>
          <w:lang w:bidi="he-IL"/>
        </w:rPr>
        <w:t>ממזר</w:t>
      </w:r>
      <w:r>
        <w:rPr>
          <w:b/>
          <w:bCs/>
          <w:sz w:val="26"/>
          <w:szCs w:val="26"/>
          <w:lang w:bidi="he-IL"/>
        </w:rPr>
        <w:t xml:space="preserve">. </w:t>
      </w:r>
      <w:r w:rsidR="00A11835" w:rsidRPr="00C752A9">
        <w:rPr>
          <w:sz w:val="22"/>
          <w:szCs w:val="22"/>
          <w:lang w:bidi="he-IL"/>
        </w:rPr>
        <w:t xml:space="preserve">This means that </w:t>
      </w:r>
      <w:r w:rsidR="00A11835" w:rsidRPr="00C752A9">
        <w:rPr>
          <w:rFonts w:hint="cs"/>
          <w:sz w:val="22"/>
          <w:szCs w:val="22"/>
          <w:rtl/>
          <w:lang w:bidi="he-IL"/>
        </w:rPr>
        <w:t>קדושין תופסין בה</w:t>
      </w:r>
      <w:r w:rsidR="00A11835" w:rsidRPr="00C752A9">
        <w:rPr>
          <w:sz w:val="22"/>
          <w:szCs w:val="22"/>
          <w:lang w:bidi="he-IL"/>
        </w:rPr>
        <w:t xml:space="preserve">; for if </w:t>
      </w:r>
      <w:r w:rsidR="00A11835" w:rsidRPr="00C752A9">
        <w:rPr>
          <w:rFonts w:hint="cs"/>
          <w:sz w:val="22"/>
          <w:szCs w:val="22"/>
          <w:rtl/>
          <w:lang w:bidi="he-IL"/>
        </w:rPr>
        <w:t>אין קדושין תופסין בה</w:t>
      </w:r>
      <w:r w:rsidR="00F362E7" w:rsidRPr="00C752A9">
        <w:rPr>
          <w:sz w:val="22"/>
          <w:szCs w:val="22"/>
          <w:lang w:bidi="he-IL"/>
        </w:rPr>
        <w:t>, then the chil</w:t>
      </w:r>
      <w:r w:rsidR="00A11835" w:rsidRPr="00C752A9">
        <w:rPr>
          <w:sz w:val="22"/>
          <w:szCs w:val="22"/>
          <w:lang w:bidi="he-IL"/>
        </w:rPr>
        <w:t xml:space="preserve">d would be a </w:t>
      </w:r>
      <w:r w:rsidR="00A11835" w:rsidRPr="00C752A9">
        <w:rPr>
          <w:rFonts w:hint="cs"/>
          <w:sz w:val="22"/>
          <w:szCs w:val="22"/>
          <w:rtl/>
          <w:lang w:bidi="he-IL"/>
        </w:rPr>
        <w:t>ממזר</w:t>
      </w:r>
      <w:r w:rsidR="00A11835" w:rsidRPr="00C752A9">
        <w:rPr>
          <w:rStyle w:val="FootnoteReference"/>
          <w:sz w:val="22"/>
          <w:szCs w:val="22"/>
          <w:rtl/>
          <w:lang w:bidi="he-IL"/>
        </w:rPr>
        <w:footnoteReference w:id="7"/>
      </w:r>
      <w:r w:rsidR="00F362E7" w:rsidRPr="00C752A9">
        <w:rPr>
          <w:sz w:val="22"/>
          <w:szCs w:val="22"/>
          <w:lang w:bidi="he-IL"/>
        </w:rPr>
        <w:t xml:space="preserve">. Therefore if the former husband was </w:t>
      </w:r>
      <w:r w:rsidR="00F362E7" w:rsidRPr="00C752A9">
        <w:rPr>
          <w:rFonts w:hint="cs"/>
          <w:sz w:val="22"/>
          <w:szCs w:val="22"/>
          <w:rtl/>
          <w:lang w:bidi="he-IL"/>
        </w:rPr>
        <w:t>מאנס</w:t>
      </w:r>
      <w:r w:rsidR="00F362E7" w:rsidRPr="00C752A9">
        <w:rPr>
          <w:sz w:val="22"/>
          <w:szCs w:val="22"/>
          <w:lang w:bidi="he-IL"/>
        </w:rPr>
        <w:t xml:space="preserve"> his divorced </w:t>
      </w:r>
      <w:r w:rsidR="00F362E7" w:rsidRPr="00C752A9">
        <w:rPr>
          <w:rFonts w:hint="cs"/>
          <w:sz w:val="22"/>
          <w:szCs w:val="22"/>
          <w:rtl/>
          <w:lang w:bidi="he-IL"/>
        </w:rPr>
        <w:t>סוטה</w:t>
      </w:r>
      <w:r w:rsidR="00F362E7" w:rsidRPr="00C752A9">
        <w:rPr>
          <w:sz w:val="22"/>
          <w:szCs w:val="22"/>
          <w:lang w:bidi="he-IL"/>
        </w:rPr>
        <w:t xml:space="preserve"> wife</w:t>
      </w:r>
      <w:r w:rsidR="008C216A" w:rsidRPr="00C752A9">
        <w:rPr>
          <w:sz w:val="22"/>
          <w:szCs w:val="22"/>
          <w:lang w:bidi="he-IL"/>
        </w:rPr>
        <w:t>,</w:t>
      </w:r>
      <w:r w:rsidR="00F362E7" w:rsidRPr="00C752A9">
        <w:rPr>
          <w:sz w:val="22"/>
          <w:szCs w:val="22"/>
          <w:lang w:bidi="he-IL"/>
        </w:rPr>
        <w:t xml:space="preserve"> according to </w:t>
      </w:r>
      <w:r w:rsidR="00F362E7" w:rsidRPr="00C752A9">
        <w:rPr>
          <w:rFonts w:hint="cs"/>
          <w:sz w:val="22"/>
          <w:szCs w:val="22"/>
          <w:rtl/>
          <w:lang w:bidi="he-IL"/>
        </w:rPr>
        <w:t>שמעון התימני</w:t>
      </w:r>
      <w:r w:rsidR="00F362E7" w:rsidRPr="00C752A9">
        <w:rPr>
          <w:sz w:val="22"/>
          <w:szCs w:val="22"/>
          <w:lang w:bidi="he-IL"/>
        </w:rPr>
        <w:t xml:space="preserve"> who requires </w:t>
      </w:r>
      <w:r w:rsidR="00F362E7" w:rsidRPr="00C752A9">
        <w:rPr>
          <w:rFonts w:hint="cs"/>
          <w:sz w:val="22"/>
          <w:szCs w:val="22"/>
          <w:rtl/>
          <w:lang w:bidi="he-IL"/>
        </w:rPr>
        <w:t>אשה שיש בה הויה</w:t>
      </w:r>
      <w:r w:rsidR="00F362E7" w:rsidRPr="00C752A9">
        <w:rPr>
          <w:sz w:val="22"/>
          <w:szCs w:val="22"/>
          <w:lang w:bidi="he-IL"/>
        </w:rPr>
        <w:t xml:space="preserve">, she is due </w:t>
      </w:r>
      <w:r w:rsidR="00F362E7" w:rsidRPr="00C752A9">
        <w:rPr>
          <w:rFonts w:hint="cs"/>
          <w:sz w:val="22"/>
          <w:szCs w:val="22"/>
          <w:rtl/>
          <w:lang w:bidi="he-IL"/>
        </w:rPr>
        <w:t>קנס</w:t>
      </w:r>
      <w:r w:rsidR="00F362E7" w:rsidRPr="00C752A9">
        <w:rPr>
          <w:sz w:val="22"/>
          <w:szCs w:val="22"/>
          <w:lang w:bidi="he-IL"/>
        </w:rPr>
        <w:t xml:space="preserve">, since </w:t>
      </w:r>
      <w:r w:rsidR="00F362E7" w:rsidRPr="00C752A9">
        <w:rPr>
          <w:rFonts w:hint="cs"/>
          <w:sz w:val="22"/>
          <w:szCs w:val="22"/>
          <w:rtl/>
          <w:lang w:bidi="he-IL"/>
        </w:rPr>
        <w:t>קדושין תופסין בה</w:t>
      </w:r>
      <w:r w:rsidR="00F362E7" w:rsidRPr="00C752A9">
        <w:rPr>
          <w:sz w:val="22"/>
          <w:szCs w:val="22"/>
          <w:lang w:bidi="he-IL"/>
        </w:rPr>
        <w:t xml:space="preserve">; however according to </w:t>
      </w:r>
      <w:r w:rsidR="00F362E7" w:rsidRPr="00C752A9">
        <w:rPr>
          <w:rFonts w:hint="cs"/>
          <w:sz w:val="22"/>
          <w:szCs w:val="22"/>
          <w:rtl/>
          <w:lang w:bidi="he-IL"/>
        </w:rPr>
        <w:t>ר"ש בן מנסיא</w:t>
      </w:r>
      <w:r w:rsidR="00F362E7" w:rsidRPr="00C752A9">
        <w:rPr>
          <w:sz w:val="22"/>
          <w:szCs w:val="22"/>
          <w:lang w:bidi="he-IL"/>
        </w:rPr>
        <w:t xml:space="preserve"> who requires </w:t>
      </w:r>
      <w:r w:rsidR="00F362E7" w:rsidRPr="00C752A9">
        <w:rPr>
          <w:rFonts w:hint="cs"/>
          <w:sz w:val="22"/>
          <w:szCs w:val="22"/>
          <w:rtl/>
          <w:lang w:bidi="he-IL"/>
        </w:rPr>
        <w:t>אשה הראויה לקיימה</w:t>
      </w:r>
      <w:r w:rsidR="00F362E7" w:rsidRPr="00C752A9">
        <w:rPr>
          <w:sz w:val="22"/>
          <w:szCs w:val="22"/>
          <w:lang w:bidi="he-IL"/>
        </w:rPr>
        <w:t xml:space="preserve">, she receives no </w:t>
      </w:r>
      <w:r w:rsidR="00F362E7" w:rsidRPr="00C752A9">
        <w:rPr>
          <w:rFonts w:hint="cs"/>
          <w:sz w:val="22"/>
          <w:szCs w:val="22"/>
          <w:rtl/>
          <w:lang w:bidi="he-IL"/>
        </w:rPr>
        <w:t>קנס</w:t>
      </w:r>
      <w:r w:rsidR="00AE47B4">
        <w:rPr>
          <w:sz w:val="22"/>
          <w:szCs w:val="22"/>
          <w:lang w:bidi="he-IL"/>
        </w:rPr>
        <w:t>,</w:t>
      </w:r>
      <w:r w:rsidR="00F362E7" w:rsidRPr="00C752A9">
        <w:rPr>
          <w:sz w:val="22"/>
          <w:szCs w:val="22"/>
          <w:lang w:bidi="he-IL"/>
        </w:rPr>
        <w:t xml:space="preserve"> for they are forbidden to live together.</w:t>
      </w:r>
      <w:r w:rsidR="00032672">
        <w:rPr>
          <w:sz w:val="22"/>
          <w:szCs w:val="22"/>
          <w:lang w:bidi="he-IL"/>
        </w:rPr>
        <w:t>]</w:t>
      </w:r>
      <w:r w:rsidR="00032672">
        <w:rPr>
          <w:rStyle w:val="FootnoteReference"/>
          <w:sz w:val="22"/>
          <w:szCs w:val="22"/>
          <w:lang w:bidi="he-IL"/>
        </w:rPr>
        <w:footnoteReference w:id="8"/>
      </w:r>
      <w:r w:rsidR="00F362E7" w:rsidRPr="00C752A9">
        <w:rPr>
          <w:sz w:val="22"/>
          <w:szCs w:val="22"/>
          <w:lang w:bidi="he-IL"/>
        </w:rPr>
        <w:t xml:space="preserve"> </w:t>
      </w:r>
      <w:r w:rsidR="00A11835" w:rsidRPr="00C752A9">
        <w:rPr>
          <w:sz w:val="22"/>
          <w:szCs w:val="22"/>
          <w:lang w:bidi="he-IL"/>
        </w:rPr>
        <w:t xml:space="preserve"> </w:t>
      </w:r>
      <w:r w:rsidRPr="00C752A9">
        <w:rPr>
          <w:b/>
          <w:bCs/>
          <w:sz w:val="22"/>
          <w:szCs w:val="22"/>
          <w:lang w:bidi="he-IL"/>
        </w:rPr>
        <w:t xml:space="preserve"> </w:t>
      </w:r>
    </w:p>
    <w:p w:rsidR="00C96B25" w:rsidRPr="00C752A9" w:rsidRDefault="00C96B25" w:rsidP="00F362E7">
      <w:pPr>
        <w:jc w:val="both"/>
        <w:rPr>
          <w:b/>
          <w:bCs/>
          <w:sz w:val="18"/>
          <w:szCs w:val="18"/>
          <w:lang w:bidi="he-IL"/>
        </w:rPr>
      </w:pPr>
    </w:p>
    <w:p w:rsidR="00C96B25" w:rsidRDefault="00C96B25" w:rsidP="00F362E7">
      <w:pPr>
        <w:jc w:val="both"/>
        <w:rPr>
          <w:sz w:val="26"/>
          <w:szCs w:val="26"/>
          <w:u w:val="single"/>
          <w:lang w:bidi="he-IL"/>
        </w:rPr>
      </w:pPr>
      <w:r w:rsidRPr="00C96B25">
        <w:rPr>
          <w:sz w:val="26"/>
          <w:szCs w:val="26"/>
          <w:u w:val="single"/>
          <w:lang w:bidi="he-IL"/>
        </w:rPr>
        <w:t>Summary</w:t>
      </w:r>
    </w:p>
    <w:p w:rsidR="00C96B25" w:rsidRPr="00F1306D" w:rsidRDefault="00F1306D" w:rsidP="00F362E7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If </w:t>
      </w:r>
      <w:r>
        <w:rPr>
          <w:rFonts w:hint="cs"/>
          <w:sz w:val="26"/>
          <w:szCs w:val="26"/>
          <w:rtl/>
          <w:lang w:bidi="he-IL"/>
        </w:rPr>
        <w:t>אירסה וזינתה תחתיו שלא כדרכה</w:t>
      </w:r>
      <w:r>
        <w:rPr>
          <w:sz w:val="26"/>
          <w:szCs w:val="26"/>
          <w:lang w:bidi="he-IL"/>
        </w:rPr>
        <w:t xml:space="preserve"> and then he divorced her, and was subsequently </w:t>
      </w:r>
      <w:r>
        <w:rPr>
          <w:rFonts w:hint="cs"/>
          <w:sz w:val="26"/>
          <w:szCs w:val="26"/>
          <w:rtl/>
          <w:lang w:bidi="he-IL"/>
        </w:rPr>
        <w:t>מאנס</w:t>
      </w:r>
      <w:r>
        <w:rPr>
          <w:sz w:val="26"/>
          <w:szCs w:val="26"/>
          <w:lang w:bidi="he-IL"/>
        </w:rPr>
        <w:t xml:space="preserve"> her; it is </w:t>
      </w:r>
      <w:r>
        <w:rPr>
          <w:rFonts w:hint="cs"/>
          <w:sz w:val="26"/>
          <w:szCs w:val="26"/>
          <w:rtl/>
          <w:lang w:bidi="he-IL"/>
        </w:rPr>
        <w:t>יש בה הויה</w:t>
      </w:r>
      <w:r>
        <w:rPr>
          <w:sz w:val="26"/>
          <w:szCs w:val="26"/>
          <w:lang w:bidi="he-IL"/>
        </w:rPr>
        <w:t xml:space="preserve">, but not </w:t>
      </w:r>
      <w:r>
        <w:rPr>
          <w:rFonts w:hint="cs"/>
          <w:sz w:val="26"/>
          <w:szCs w:val="26"/>
          <w:rtl/>
          <w:lang w:bidi="he-IL"/>
        </w:rPr>
        <w:t>ראויה לקיימה</w:t>
      </w:r>
      <w:r>
        <w:rPr>
          <w:sz w:val="26"/>
          <w:szCs w:val="26"/>
          <w:lang w:bidi="he-IL"/>
        </w:rPr>
        <w:t>.</w:t>
      </w:r>
    </w:p>
    <w:p w:rsidR="00C96B25" w:rsidRPr="00C752A9" w:rsidRDefault="00C96B25" w:rsidP="00F362E7">
      <w:pPr>
        <w:jc w:val="both"/>
        <w:rPr>
          <w:sz w:val="22"/>
          <w:szCs w:val="22"/>
          <w:lang w:bidi="he-IL"/>
        </w:rPr>
      </w:pPr>
    </w:p>
    <w:p w:rsidR="00C96B25" w:rsidRDefault="00C96B25" w:rsidP="00F362E7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u w:val="single"/>
          <w:lang w:bidi="he-IL"/>
        </w:rPr>
        <w:t>Thinking it over</w:t>
      </w:r>
    </w:p>
    <w:p w:rsidR="00C96B25" w:rsidRPr="00C96B25" w:rsidRDefault="00F1306D" w:rsidP="00F1306D">
      <w:pPr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Is there an advantage in the s</w:t>
      </w:r>
      <w:r>
        <w:rPr>
          <w:rFonts w:hint="cs"/>
          <w:sz w:val="26"/>
          <w:szCs w:val="26"/>
          <w:rtl/>
          <w:lang w:bidi="he-IL"/>
        </w:rPr>
        <w:t>תו"י'</w:t>
      </w:r>
      <w:r>
        <w:rPr>
          <w:sz w:val="26"/>
          <w:szCs w:val="26"/>
          <w:lang w:bidi="he-IL"/>
        </w:rPr>
        <w:t xml:space="preserve"> solution over the s</w:t>
      </w:r>
      <w:r>
        <w:rPr>
          <w:rFonts w:hint="cs"/>
          <w:sz w:val="26"/>
          <w:szCs w:val="26"/>
          <w:rtl/>
          <w:lang w:bidi="he-IL"/>
        </w:rPr>
        <w:t>גמרא'</w:t>
      </w:r>
      <w:r>
        <w:rPr>
          <w:sz w:val="26"/>
          <w:szCs w:val="26"/>
          <w:lang w:bidi="he-IL"/>
        </w:rPr>
        <w:t xml:space="preserve"> solution (of </w:t>
      </w:r>
      <w:r>
        <w:rPr>
          <w:rFonts w:hint="cs"/>
          <w:sz w:val="26"/>
          <w:szCs w:val="26"/>
          <w:rtl/>
          <w:lang w:bidi="he-IL"/>
        </w:rPr>
        <w:t>בעולה לכה"ג</w:t>
      </w:r>
      <w:r>
        <w:rPr>
          <w:sz w:val="26"/>
          <w:szCs w:val="26"/>
          <w:lang w:bidi="he-IL"/>
        </w:rPr>
        <w:t>)?</w:t>
      </w:r>
    </w:p>
    <w:sectPr w:rsidR="00C96B25" w:rsidRPr="00C96B2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BC6" w:rsidRDefault="00931BC6">
      <w:r>
        <w:separator/>
      </w:r>
    </w:p>
  </w:endnote>
  <w:endnote w:type="continuationSeparator" w:id="0">
    <w:p w:rsidR="00931BC6" w:rsidRDefault="0093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8CF" w:rsidRDefault="001738CF">
    <w:pPr>
      <w:pStyle w:val="Footer"/>
      <w:rPr>
        <w:rFonts w:hint="cs"/>
        <w:rtl/>
        <w:lang w:bidi="he-IL"/>
      </w:rPr>
    </w:pPr>
  </w:p>
  <w:p w:rsidR="001738CF" w:rsidRPr="00F362E7" w:rsidRDefault="001738CF" w:rsidP="00F362E7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BC6" w:rsidRDefault="00931BC6">
      <w:r>
        <w:separator/>
      </w:r>
    </w:p>
  </w:footnote>
  <w:footnote w:type="continuationSeparator" w:id="0">
    <w:p w:rsidR="00931BC6" w:rsidRDefault="00931BC6">
      <w:r>
        <w:continuationSeparator/>
      </w:r>
    </w:p>
  </w:footnote>
  <w:footnote w:id="1">
    <w:p w:rsidR="001738CF" w:rsidRDefault="001738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We cannot be discussing a case of </w:t>
      </w:r>
      <w:r>
        <w:rPr>
          <w:rFonts w:hint="cs"/>
          <w:rtl/>
          <w:lang w:bidi="he-IL"/>
        </w:rPr>
        <w:t>נישואין</w:t>
      </w:r>
      <w:r>
        <w:rPr>
          <w:lang w:bidi="he-IL"/>
        </w:rPr>
        <w:t xml:space="preserve">, for then she is </w:t>
      </w:r>
      <w:r>
        <w:rPr>
          <w:rFonts w:hint="cs"/>
          <w:rtl/>
          <w:lang w:bidi="he-IL"/>
        </w:rPr>
        <w:t>בחזקת בעולה</w:t>
      </w:r>
      <w:r>
        <w:rPr>
          <w:lang w:bidi="he-IL"/>
        </w:rPr>
        <w:t xml:space="preserve">, and there is no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at all.</w:t>
      </w:r>
    </w:p>
  </w:footnote>
  <w:footnote w:id="2">
    <w:p w:rsidR="001738CF" w:rsidRDefault="001738CF" w:rsidP="001738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בעילה שלא כדרכה</w:t>
      </w:r>
      <w:r>
        <w:rPr>
          <w:lang w:bidi="he-IL"/>
        </w:rPr>
        <w:t xml:space="preserve"> (even though it is considered a </w:t>
      </w:r>
      <w:r>
        <w:rPr>
          <w:rFonts w:hint="cs"/>
          <w:rtl/>
          <w:lang w:bidi="he-IL"/>
        </w:rPr>
        <w:t>בעילה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זנות</w:t>
      </w:r>
      <w:r>
        <w:rPr>
          <w:lang w:bidi="he-IL"/>
        </w:rPr>
        <w:t xml:space="preserve">) allows her to still remain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concerning the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of an </w:t>
      </w:r>
      <w:r>
        <w:rPr>
          <w:rFonts w:hint="cs"/>
          <w:rtl/>
          <w:lang w:bidi="he-IL"/>
        </w:rPr>
        <w:t>אונס ומפתה</w:t>
      </w:r>
      <w:r>
        <w:rPr>
          <w:lang w:bidi="he-IL"/>
        </w:rPr>
        <w:t>. See previous footnote # 1.</w:t>
      </w:r>
    </w:p>
  </w:footnote>
  <w:footnote w:id="3">
    <w:p w:rsidR="001738CF" w:rsidRDefault="001738CF" w:rsidP="00C752A9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is following the opinion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there in </w:t>
      </w:r>
      <w:r>
        <w:rPr>
          <w:rFonts w:hint="cs"/>
          <w:rtl/>
          <w:lang w:bidi="he-IL"/>
        </w:rPr>
        <w:t>החולץ, ד"ה סוטה</w:t>
      </w:r>
      <w:r>
        <w:rPr>
          <w:lang w:bidi="he-IL"/>
        </w:rPr>
        <w:t xml:space="preserve">, that the ruling of </w:t>
      </w:r>
      <w:r>
        <w:rPr>
          <w:rFonts w:hint="cs"/>
          <w:rtl/>
          <w:lang w:bidi="he-IL"/>
        </w:rPr>
        <w:t>הכל מודים בבא על הסוטה שאין הולד ממזר</w:t>
      </w:r>
      <w:r>
        <w:rPr>
          <w:lang w:bidi="he-IL"/>
        </w:rPr>
        <w:t xml:space="preserve"> is discussing a case of a </w:t>
      </w:r>
      <w:r>
        <w:rPr>
          <w:rFonts w:hint="cs"/>
          <w:rtl/>
          <w:lang w:bidi="he-IL"/>
        </w:rPr>
        <w:t>סוטה שגירשה</w:t>
      </w:r>
      <w:r>
        <w:rPr>
          <w:lang w:bidi="he-IL"/>
        </w:rPr>
        <w:t xml:space="preserve"> (not a </w:t>
      </w:r>
      <w:r>
        <w:rPr>
          <w:rFonts w:hint="cs"/>
          <w:rtl/>
          <w:lang w:bidi="he-IL"/>
        </w:rPr>
        <w:t>סוטה</w:t>
      </w:r>
      <w:r>
        <w:rPr>
          <w:lang w:bidi="he-IL"/>
        </w:rPr>
        <w:t xml:space="preserve"> who is still </w:t>
      </w:r>
      <w:r>
        <w:rPr>
          <w:rFonts w:hint="cs"/>
          <w:rtl/>
          <w:lang w:bidi="he-IL"/>
        </w:rPr>
        <w:t>תחת בעלה</w:t>
      </w:r>
      <w:r>
        <w:rPr>
          <w:lang w:bidi="he-IL"/>
        </w:rPr>
        <w:t xml:space="preserve">). Alternately, there can be no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if she is still wedded to him</w:t>
      </w:r>
      <w:r w:rsidR="005E786D">
        <w:rPr>
          <w:lang w:bidi="he-IL"/>
        </w:rPr>
        <w:t xml:space="preserve"> (a </w:t>
      </w:r>
      <w:r w:rsidR="005E786D">
        <w:rPr>
          <w:rFonts w:hint="cs"/>
          <w:rtl/>
          <w:lang w:bidi="he-IL"/>
        </w:rPr>
        <w:t>קנס</w:t>
      </w:r>
      <w:r w:rsidR="005E786D">
        <w:rPr>
          <w:lang w:bidi="he-IL"/>
        </w:rPr>
        <w:t xml:space="preserve"> is [only] for a </w:t>
      </w:r>
      <w:r w:rsidR="005E786D">
        <w:rPr>
          <w:rFonts w:hint="cs"/>
          <w:rtl/>
          <w:lang w:bidi="he-IL"/>
        </w:rPr>
        <w:t>נערה, בתולה, אשר לא אורשה</w:t>
      </w:r>
      <w:r w:rsidR="005E786D">
        <w:rPr>
          <w:lang w:bidi="he-IL"/>
        </w:rPr>
        <w:t>)</w:t>
      </w:r>
      <w:r>
        <w:rPr>
          <w:lang w:bidi="he-IL"/>
        </w:rPr>
        <w:t>.</w:t>
      </w:r>
    </w:p>
  </w:footnote>
  <w:footnote w:id="4">
    <w:p w:rsidR="001738CF" w:rsidRDefault="001738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יבמות יא,ב</w:t>
      </w:r>
      <w:r>
        <w:rPr>
          <w:lang w:bidi="he-IL"/>
        </w:rPr>
        <w:t xml:space="preserve"> that he is </w:t>
      </w:r>
      <w:r>
        <w:rPr>
          <w:rFonts w:hint="cs"/>
          <w:rtl/>
          <w:lang w:bidi="he-IL"/>
        </w:rPr>
        <w:t>עובר</w:t>
      </w:r>
      <w:r>
        <w:rPr>
          <w:lang w:bidi="he-IL"/>
        </w:rPr>
        <w:t xml:space="preserve"> on the </w:t>
      </w:r>
      <w:r>
        <w:rPr>
          <w:rFonts w:hint="cs"/>
          <w:rtl/>
          <w:lang w:bidi="he-IL"/>
        </w:rPr>
        <w:t>לאו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יוכל וגו' אחרי אשר הוטמאה</w:t>
      </w:r>
      <w:r>
        <w:rPr>
          <w:lang w:bidi="he-IL"/>
        </w:rPr>
        <w:t xml:space="preserve"> that is written (</w:t>
      </w:r>
      <w:r>
        <w:rPr>
          <w:rFonts w:hint="cs"/>
          <w:rtl/>
          <w:lang w:bidi="he-IL"/>
        </w:rPr>
        <w:t>דברים [תצא] כד,ד</w:t>
      </w:r>
      <w:r>
        <w:rPr>
          <w:lang w:bidi="he-IL"/>
        </w:rPr>
        <w:t xml:space="preserve">] in </w:t>
      </w:r>
      <w:r>
        <w:rPr>
          <w:rFonts w:hint="cs"/>
          <w:rtl/>
          <w:lang w:bidi="he-IL"/>
        </w:rPr>
        <w:t xml:space="preserve">פרשת מחזיר גרושתו </w:t>
      </w:r>
      <w:r>
        <w:rPr>
          <w:lang w:bidi="he-IL"/>
        </w:rPr>
        <w:t xml:space="preserve"> (besides the </w:t>
      </w:r>
      <w:r>
        <w:rPr>
          <w:rFonts w:hint="cs"/>
          <w:rtl/>
          <w:lang w:bidi="he-IL"/>
        </w:rPr>
        <w:t>עשה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ונטמאה</w:t>
      </w:r>
      <w:r>
        <w:rPr>
          <w:lang w:bidi="he-IL"/>
        </w:rPr>
        <w:t xml:space="preserve"> which is written </w:t>
      </w:r>
      <w:r>
        <w:rPr>
          <w:rFonts w:hint="cs"/>
          <w:rtl/>
          <w:lang w:bidi="he-IL"/>
        </w:rPr>
        <w:t>(במדבר [נשא] ה,יג)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פרשת סוטה</w:t>
      </w:r>
      <w:r>
        <w:rPr>
          <w:lang w:bidi="he-IL"/>
        </w:rPr>
        <w:t>).</w:t>
      </w:r>
    </w:p>
  </w:footnote>
  <w:footnote w:id="5">
    <w:p w:rsidR="001738CF" w:rsidRDefault="001738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מט, ריש עמוד ב'</w:t>
      </w:r>
      <w:r>
        <w:rPr>
          <w:lang w:bidi="he-IL"/>
        </w:rPr>
        <w:t>.</w:t>
      </w:r>
    </w:p>
  </w:footnote>
  <w:footnote w:id="6">
    <w:p w:rsidR="001738CF" w:rsidRDefault="001738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includes even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רש"י ד"ה הבא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תוספות ד"ה הכל [בע"א]</w:t>
      </w:r>
      <w:r>
        <w:rPr>
          <w:lang w:bidi="he-IL"/>
        </w:rPr>
        <w:t>) there.</w:t>
      </w:r>
    </w:p>
  </w:footnote>
  <w:footnote w:id="7">
    <w:p w:rsidR="001738CF" w:rsidRDefault="001738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חילולין</w:t>
      </w:r>
      <w:r>
        <w:rPr>
          <w:lang w:bidi="he-IL"/>
        </w:rPr>
        <w:t>.</w:t>
      </w:r>
    </w:p>
  </w:footnote>
  <w:footnote w:id="8">
    <w:p w:rsidR="001738CF" w:rsidRDefault="001738CF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This concludes the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, which began at the end of the previous </w:t>
      </w:r>
      <w:r>
        <w:rPr>
          <w:rFonts w:hint="cs"/>
          <w:rtl/>
          <w:lang w:bidi="he-IL"/>
        </w:rPr>
        <w:t>תוספות ד"ה חילולין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8CF" w:rsidRPr="00F362E7" w:rsidRDefault="001738CF" w:rsidP="00F362E7">
    <w:pPr>
      <w:pStyle w:val="Header"/>
      <w:bidi/>
      <w:rPr>
        <w:rFonts w:hint="cs"/>
        <w:sz w:val="22"/>
        <w:szCs w:val="22"/>
        <w:rtl/>
        <w:lang w:bidi="he-IL"/>
      </w:rPr>
    </w:pPr>
    <w:r>
      <w:rPr>
        <w:rFonts w:hint="cs"/>
        <w:sz w:val="22"/>
        <w:szCs w:val="22"/>
        <w:rtl/>
        <w:lang w:bidi="he-IL"/>
      </w:rPr>
      <w:t>בס"ד כתובות כט,ב תו"י ד"ה מאי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141B"/>
    <w:rsid w:val="00032672"/>
    <w:rsid w:val="001738CF"/>
    <w:rsid w:val="00184D2E"/>
    <w:rsid w:val="0020216B"/>
    <w:rsid w:val="00210A1E"/>
    <w:rsid w:val="003F6705"/>
    <w:rsid w:val="004B5806"/>
    <w:rsid w:val="005E786D"/>
    <w:rsid w:val="00605E32"/>
    <w:rsid w:val="0065602F"/>
    <w:rsid w:val="007552E7"/>
    <w:rsid w:val="00816504"/>
    <w:rsid w:val="0089054C"/>
    <w:rsid w:val="008C216A"/>
    <w:rsid w:val="00931BC6"/>
    <w:rsid w:val="00A11835"/>
    <w:rsid w:val="00A6141B"/>
    <w:rsid w:val="00A71F03"/>
    <w:rsid w:val="00AE47B4"/>
    <w:rsid w:val="00B6778D"/>
    <w:rsid w:val="00B73C40"/>
    <w:rsid w:val="00C752A9"/>
    <w:rsid w:val="00C96B25"/>
    <w:rsid w:val="00D54370"/>
    <w:rsid w:val="00D80DE2"/>
    <w:rsid w:val="00F1306D"/>
    <w:rsid w:val="00F362E7"/>
    <w:rsid w:val="00FD07C4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1DA6-65A3-460C-9713-2227FAB9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B73C4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73C40"/>
    <w:rPr>
      <w:vertAlign w:val="superscript"/>
    </w:rPr>
  </w:style>
  <w:style w:type="paragraph" w:styleId="Header">
    <w:name w:val="header"/>
    <w:basedOn w:val="Normal"/>
    <w:rsid w:val="00F362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62E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מאי בינייהו – What is the difference between them                                              </vt:lpstr>
    </vt:vector>
  </TitlesOfParts>
  <Company> 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מאי בינייהו – What is the difference between them                                              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