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6FC" w:rsidRPr="001936FC" w:rsidRDefault="003060BB" w:rsidP="001936FC">
      <w:pPr>
        <w:bidi/>
        <w:rPr>
          <w:b w:val="0"/>
          <w:bCs w:val="0"/>
          <w:sz w:val="16"/>
          <w:szCs w:val="16"/>
        </w:rPr>
      </w:pPr>
      <w:r w:rsidRPr="001936FC">
        <w:rPr>
          <w:sz w:val="36"/>
          <w:szCs w:val="36"/>
          <w:rtl/>
        </w:rPr>
        <w:t>ותו</w:t>
      </w:r>
      <w:r w:rsidR="00FD1936">
        <w:rPr>
          <w:rStyle w:val="FootnoteReference"/>
          <w:sz w:val="36"/>
          <w:szCs w:val="36"/>
          <w:rtl/>
        </w:rPr>
        <w:footnoteReference w:id="1"/>
      </w:r>
      <w:r w:rsidR="001936FC">
        <w:rPr>
          <w:rFonts w:hint="cs"/>
          <w:rtl/>
        </w:rPr>
        <w:t xml:space="preserve"> </w:t>
      </w:r>
      <w:r w:rsidRPr="001936FC">
        <w:rPr>
          <w:sz w:val="32"/>
          <w:szCs w:val="32"/>
          <w:rtl/>
        </w:rPr>
        <w:t>התם</w:t>
      </w:r>
      <w:r w:rsidR="001936FC">
        <w:rPr>
          <w:rFonts w:hint="cs"/>
          <w:sz w:val="32"/>
          <w:szCs w:val="32"/>
          <w:rtl/>
        </w:rPr>
        <w:t xml:space="preserve"> </w:t>
      </w:r>
      <w:r w:rsidR="001936FC">
        <w:rPr>
          <w:sz w:val="32"/>
          <w:szCs w:val="32"/>
          <w:rtl/>
        </w:rPr>
        <w:t>–</w:t>
      </w:r>
      <w:r w:rsidR="001936FC">
        <w:rPr>
          <w:rFonts w:hint="cs"/>
          <w:sz w:val="32"/>
          <w:szCs w:val="32"/>
          <w:rtl/>
        </w:rPr>
        <w:t xml:space="preserve"> </w:t>
      </w:r>
      <w:r w:rsidR="001936FC">
        <w:rPr>
          <w:sz w:val="32"/>
          <w:szCs w:val="32"/>
        </w:rPr>
        <w:t xml:space="preserve">And furthermore; there, </w:t>
      </w:r>
      <w:r w:rsidR="001936FC">
        <w:rPr>
          <w:b w:val="0"/>
          <w:bCs w:val="0"/>
          <w:sz w:val="32"/>
          <w:szCs w:val="32"/>
        </w:rPr>
        <w:t xml:space="preserve">etc.                                                 </w:t>
      </w:r>
      <w:r w:rsidR="001936FC">
        <w:rPr>
          <w:b w:val="0"/>
          <w:bCs w:val="0"/>
          <w:sz w:val="16"/>
          <w:szCs w:val="16"/>
        </w:rPr>
        <w:t xml:space="preserve">  </w:t>
      </w:r>
    </w:p>
    <w:p w:rsidR="001936FC" w:rsidRDefault="001936FC" w:rsidP="001936FC">
      <w:pPr>
        <w:bidi/>
        <w:rPr>
          <w:rFonts w:hint="cs"/>
          <w:b w:val="0"/>
          <w:bCs w:val="0"/>
          <w:sz w:val="24"/>
          <w:szCs w:val="24"/>
          <w:rtl/>
        </w:rPr>
      </w:pPr>
    </w:p>
    <w:p w:rsidR="001936FC" w:rsidRPr="001936FC" w:rsidRDefault="001936FC" w:rsidP="001936FC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1936FC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1936FC" w:rsidRPr="00FD1936" w:rsidRDefault="00FD1936" w:rsidP="001936FC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states, ‘one should not marry on Monday, but if it</w:t>
      </w:r>
      <w:r w:rsidR="006B7818">
        <w:rPr>
          <w:b w:val="0"/>
          <w:bCs w:val="0"/>
        </w:rPr>
        <w:t xml:space="preserve"> is</w:t>
      </w:r>
      <w:r>
        <w:rPr>
          <w:b w:val="0"/>
          <w:bCs w:val="0"/>
        </w:rPr>
        <w:t xml:space="preserve"> on account of </w:t>
      </w:r>
      <w:r>
        <w:rPr>
          <w:rFonts w:hint="cs"/>
          <w:b w:val="0"/>
          <w:bCs w:val="0"/>
          <w:rtl/>
        </w:rPr>
        <w:t>אונס</w:t>
      </w:r>
      <w:r>
        <w:rPr>
          <w:b w:val="0"/>
          <w:bCs w:val="0"/>
        </w:rPr>
        <w:t xml:space="preserve">, it is permitted’.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asked, ‘what is meant by </w:t>
      </w:r>
      <w:r>
        <w:rPr>
          <w:rFonts w:hint="cs"/>
          <w:b w:val="0"/>
          <w:bCs w:val="0"/>
          <w:rtl/>
        </w:rPr>
        <w:t>אונס</w:t>
      </w:r>
      <w:r>
        <w:rPr>
          <w:b w:val="0"/>
          <w:bCs w:val="0"/>
        </w:rPr>
        <w:t xml:space="preserve">; if it is referring to the previous case (where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stated; </w:t>
      </w:r>
      <w:r>
        <w:rPr>
          <w:rFonts w:hint="cs"/>
          <w:b w:val="0"/>
          <w:bCs w:val="0"/>
          <w:rtl/>
        </w:rPr>
        <w:t>ומסכנה ואילך נהגו העם לכנוס בשלישי</w:t>
      </w:r>
      <w:r>
        <w:rPr>
          <w:b w:val="0"/>
          <w:bCs w:val="0"/>
        </w:rPr>
        <w:t xml:space="preserve">), etc. And furthermore why there (regarding </w:t>
      </w:r>
      <w:r>
        <w:rPr>
          <w:rFonts w:hint="cs"/>
          <w:b w:val="0"/>
          <w:bCs w:val="0"/>
          <w:rtl/>
        </w:rPr>
        <w:t>שלישי</w:t>
      </w:r>
      <w:r>
        <w:rPr>
          <w:b w:val="0"/>
          <w:bCs w:val="0"/>
        </w:rPr>
        <w:t xml:space="preserve">)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states </w:t>
      </w:r>
      <w:r>
        <w:rPr>
          <w:rFonts w:hint="cs"/>
          <w:b w:val="0"/>
          <w:bCs w:val="0"/>
          <w:rtl/>
        </w:rPr>
        <w:t>נהגו</w:t>
      </w:r>
      <w:r>
        <w:rPr>
          <w:b w:val="0"/>
          <w:bCs w:val="0"/>
        </w:rPr>
        <w:t xml:space="preserve">, and here (by </w:t>
      </w:r>
      <w:r>
        <w:rPr>
          <w:rFonts w:hint="cs"/>
          <w:b w:val="0"/>
          <w:bCs w:val="0"/>
          <w:rtl/>
        </w:rPr>
        <w:t>שני</w:t>
      </w:r>
      <w:r>
        <w:rPr>
          <w:b w:val="0"/>
          <w:bCs w:val="0"/>
        </w:rPr>
        <w:t xml:space="preserve">)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states </w:t>
      </w:r>
      <w:r>
        <w:rPr>
          <w:rFonts w:hint="cs"/>
          <w:b w:val="0"/>
          <w:bCs w:val="0"/>
          <w:rtl/>
        </w:rPr>
        <w:t>מותר</w:t>
      </w:r>
      <w:r w:rsidR="006B7818">
        <w:rPr>
          <w:b w:val="0"/>
          <w:bCs w:val="0"/>
        </w:rPr>
        <w:t>’</w:t>
      </w:r>
      <w:r>
        <w:rPr>
          <w:b w:val="0"/>
          <w:bCs w:val="0"/>
        </w:rPr>
        <w:t xml:space="preserve">. Our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explains the difference between </w:t>
      </w:r>
      <w:r>
        <w:rPr>
          <w:rFonts w:hint="cs"/>
          <w:b w:val="0"/>
          <w:bCs w:val="0"/>
          <w:rtl/>
        </w:rPr>
        <w:t>נהגו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מותר</w:t>
      </w:r>
      <w:r>
        <w:rPr>
          <w:b w:val="0"/>
          <w:bCs w:val="0"/>
        </w:rPr>
        <w:t>.</w:t>
      </w:r>
    </w:p>
    <w:p w:rsidR="001936FC" w:rsidRDefault="00C86254" w:rsidP="00C86254">
      <w:pPr>
        <w:bidi/>
        <w:jc w:val="center"/>
        <w:rPr>
          <w:rFonts w:hint="cs"/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</w:t>
      </w:r>
    </w:p>
    <w:p w:rsidR="00FD1936" w:rsidRPr="00C86254" w:rsidRDefault="003060BB" w:rsidP="00C86254">
      <w:pPr>
        <w:bidi/>
        <w:rPr>
          <w:rFonts w:cs="David"/>
        </w:rPr>
      </w:pPr>
      <w:r w:rsidRPr="00C86254">
        <w:rPr>
          <w:rFonts w:cs="David"/>
          <w:rtl/>
        </w:rPr>
        <w:t xml:space="preserve">בשלישי נהגו </w:t>
      </w:r>
      <w:r w:rsidR="00C86254">
        <w:rPr>
          <w:rFonts w:cs="David" w:hint="cs"/>
          <w:rtl/>
        </w:rPr>
        <w:t>-</w:t>
      </w:r>
    </w:p>
    <w:p w:rsidR="00FD1936" w:rsidRPr="00FD1936" w:rsidRDefault="00FD1936" w:rsidP="00FD1936">
      <w:r>
        <w:t xml:space="preserve">Regarding </w:t>
      </w:r>
      <w:r>
        <w:rPr>
          <w:b w:val="0"/>
          <w:bCs w:val="0"/>
        </w:rPr>
        <w:t xml:space="preserve">marrying </w:t>
      </w:r>
      <w:r>
        <w:rPr>
          <w:rFonts w:hint="cs"/>
          <w:rtl/>
        </w:rPr>
        <w:t>בשלישי</w:t>
      </w:r>
      <w:r>
        <w:t xml:space="preserve"> </w:t>
      </w:r>
      <w:r>
        <w:rPr>
          <w:b w:val="0"/>
          <w:bCs w:val="0"/>
        </w:rPr>
        <w:t xml:space="preserve">(from the </w:t>
      </w:r>
      <w:r>
        <w:rPr>
          <w:rFonts w:hint="cs"/>
          <w:b w:val="0"/>
          <w:bCs w:val="0"/>
          <w:rtl/>
        </w:rPr>
        <w:t>סכנה ואילך</w:t>
      </w:r>
      <w:r w:rsidR="009B4146">
        <w:rPr>
          <w:b w:val="0"/>
          <w:bCs w:val="0"/>
        </w:rPr>
        <w:t xml:space="preserve">) </w:t>
      </w:r>
      <w:r w:rsidR="009B4146">
        <w:t>the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writes </w:t>
      </w:r>
      <w:r>
        <w:rPr>
          <w:rFonts w:hint="cs"/>
          <w:rtl/>
        </w:rPr>
        <w:t>נהגו</w:t>
      </w:r>
      <w:r>
        <w:t xml:space="preserve"> -</w:t>
      </w:r>
    </w:p>
    <w:p w:rsidR="00FD1936" w:rsidRPr="00C86254" w:rsidRDefault="003060BB" w:rsidP="00C86254">
      <w:pPr>
        <w:bidi/>
        <w:rPr>
          <w:rFonts w:cs="David"/>
        </w:rPr>
      </w:pPr>
      <w:r w:rsidRPr="00C86254">
        <w:rPr>
          <w:rFonts w:cs="David"/>
          <w:rtl/>
        </w:rPr>
        <w:t>ואמרינן בפ</w:t>
      </w:r>
      <w:r w:rsidR="00FD1936" w:rsidRPr="00C86254">
        <w:rPr>
          <w:rFonts w:cs="David" w:hint="cs"/>
          <w:rtl/>
        </w:rPr>
        <w:t>רק</w:t>
      </w:r>
      <w:r w:rsidRPr="00C86254">
        <w:rPr>
          <w:rFonts w:cs="David"/>
          <w:rtl/>
        </w:rPr>
        <w:t xml:space="preserve"> בתרא דתענית </w:t>
      </w:r>
      <w:r w:rsidRPr="00C86254">
        <w:rPr>
          <w:rFonts w:cs="David"/>
          <w:sz w:val="20"/>
          <w:szCs w:val="20"/>
          <w:rtl/>
        </w:rPr>
        <w:t>(דף כו</w:t>
      </w:r>
      <w:r w:rsidR="00FD1936" w:rsidRPr="00C86254">
        <w:rPr>
          <w:rFonts w:cs="David" w:hint="cs"/>
          <w:sz w:val="20"/>
          <w:szCs w:val="20"/>
          <w:rtl/>
        </w:rPr>
        <w:t>,ב</w:t>
      </w:r>
      <w:r w:rsidRPr="00C86254">
        <w:rPr>
          <w:rFonts w:cs="David"/>
          <w:sz w:val="20"/>
          <w:szCs w:val="20"/>
          <w:rtl/>
        </w:rPr>
        <w:t>)</w:t>
      </w:r>
      <w:r w:rsidRPr="00C86254">
        <w:rPr>
          <w:rFonts w:cs="David"/>
          <w:rtl/>
        </w:rPr>
        <w:t xml:space="preserve"> מאן דאמר נהגו אורויי לא מורינן</w:t>
      </w:r>
      <w:r w:rsidR="00FD1936" w:rsidRPr="00C86254">
        <w:rPr>
          <w:rStyle w:val="FootnoteReference"/>
          <w:rFonts w:cs="David"/>
          <w:rtl/>
        </w:rPr>
        <w:footnoteReference w:id="2"/>
      </w:r>
      <w:r w:rsidRPr="00C86254">
        <w:rPr>
          <w:rFonts w:cs="David"/>
          <w:rtl/>
        </w:rPr>
        <w:t xml:space="preserve"> </w:t>
      </w:r>
      <w:r w:rsidR="00C86254">
        <w:rPr>
          <w:rFonts w:cs="David" w:hint="cs"/>
          <w:rtl/>
        </w:rPr>
        <w:t>-</w:t>
      </w:r>
    </w:p>
    <w:p w:rsidR="00FD1936" w:rsidRPr="00C86254" w:rsidRDefault="00FD1936" w:rsidP="00C86254">
      <w:pPr>
        <w:rPr>
          <w:b w:val="0"/>
          <w:bCs w:val="0"/>
          <w:sz w:val="24"/>
          <w:szCs w:val="24"/>
        </w:rPr>
      </w:pPr>
      <w:r>
        <w:t xml:space="preserve">And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</w:t>
      </w:r>
      <w:r>
        <w:t xml:space="preserve">states in the last </w:t>
      </w:r>
      <w:r>
        <w:rPr>
          <w:rFonts w:hint="cs"/>
          <w:rtl/>
        </w:rPr>
        <w:t>פרק</w:t>
      </w:r>
      <w:r>
        <w:t xml:space="preserve"> of </w:t>
      </w:r>
      <w:r>
        <w:rPr>
          <w:rFonts w:hint="cs"/>
          <w:b w:val="0"/>
          <w:bCs w:val="0"/>
          <w:rtl/>
        </w:rPr>
        <w:t xml:space="preserve">מסכת </w:t>
      </w:r>
      <w:r>
        <w:rPr>
          <w:rFonts w:hint="cs"/>
          <w:rtl/>
        </w:rPr>
        <w:t>תענית</w:t>
      </w:r>
      <w:r>
        <w:t>, ‘</w:t>
      </w:r>
      <w:r w:rsidR="00C86254">
        <w:t>the</w:t>
      </w:r>
      <w:r>
        <w:t xml:space="preserve"> one who said </w:t>
      </w:r>
      <w:r>
        <w:rPr>
          <w:rFonts w:hint="cs"/>
          <w:rtl/>
        </w:rPr>
        <w:t>נהגו</w:t>
      </w:r>
      <w:r>
        <w:t xml:space="preserve">, </w:t>
      </w:r>
      <w:r>
        <w:rPr>
          <w:b w:val="0"/>
          <w:bCs w:val="0"/>
        </w:rPr>
        <w:t xml:space="preserve">meant </w:t>
      </w:r>
      <w:r>
        <w:t xml:space="preserve">that we do not instruct </w:t>
      </w:r>
      <w:r w:rsidRPr="00C86254">
        <w:rPr>
          <w:b w:val="0"/>
          <w:bCs w:val="0"/>
          <w:sz w:val="24"/>
          <w:szCs w:val="24"/>
        </w:rPr>
        <w:t>people to do this</w:t>
      </w:r>
      <w:r w:rsidR="009B4146" w:rsidRPr="00C86254">
        <w:rPr>
          <w:b w:val="0"/>
          <w:bCs w:val="0"/>
          <w:sz w:val="24"/>
          <w:szCs w:val="24"/>
        </w:rPr>
        <w:t xml:space="preserve">, but we do not make them change </w:t>
      </w:r>
      <w:r w:rsidR="00C86254" w:rsidRPr="00C86254">
        <w:rPr>
          <w:b w:val="0"/>
          <w:bCs w:val="0"/>
          <w:sz w:val="24"/>
          <w:szCs w:val="24"/>
        </w:rPr>
        <w:t xml:space="preserve">it’ - </w:t>
      </w:r>
    </w:p>
    <w:p w:rsidR="00FD1936" w:rsidRPr="00C86254" w:rsidRDefault="003060BB" w:rsidP="00C86254">
      <w:pPr>
        <w:bidi/>
        <w:rPr>
          <w:rFonts w:cs="David"/>
        </w:rPr>
      </w:pPr>
      <w:r w:rsidRPr="00C86254">
        <w:rPr>
          <w:rFonts w:cs="David"/>
          <w:rtl/>
        </w:rPr>
        <w:t xml:space="preserve">והכא בשני מותר לכתחלה </w:t>
      </w:r>
      <w:r w:rsidR="00C86254">
        <w:rPr>
          <w:rFonts w:cs="David" w:hint="cs"/>
          <w:rtl/>
        </w:rPr>
        <w:t>-</w:t>
      </w:r>
    </w:p>
    <w:p w:rsidR="009B4146" w:rsidRDefault="009B4146" w:rsidP="006B7818">
      <w:r>
        <w:t xml:space="preserve">However, here </w:t>
      </w:r>
      <w:r>
        <w:rPr>
          <w:b w:val="0"/>
          <w:bCs w:val="0"/>
        </w:rPr>
        <w:t xml:space="preserve">(regarding marrying </w:t>
      </w:r>
      <w:r>
        <w:rPr>
          <w:rFonts w:hint="cs"/>
          <w:b w:val="0"/>
          <w:bCs w:val="0"/>
          <w:rtl/>
        </w:rPr>
        <w:t>בשני</w:t>
      </w:r>
      <w:r>
        <w:rPr>
          <w:b w:val="0"/>
          <w:bCs w:val="0"/>
        </w:rPr>
        <w:t xml:space="preserve">)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states </w:t>
      </w:r>
      <w:r>
        <w:rPr>
          <w:rFonts w:hint="cs"/>
          <w:rtl/>
        </w:rPr>
        <w:t>מותר</w:t>
      </w:r>
      <w:r>
        <w:t xml:space="preserve"> </w:t>
      </w:r>
      <w:r>
        <w:rPr>
          <w:b w:val="0"/>
          <w:bCs w:val="0"/>
        </w:rPr>
        <w:t xml:space="preserve">(which means) </w:t>
      </w:r>
      <w:r w:rsidR="006B7818">
        <w:rPr>
          <w:rFonts w:hint="cs"/>
          <w:b w:val="0"/>
          <w:bCs w:val="0"/>
          <w:rtl/>
        </w:rPr>
        <w:t xml:space="preserve">(מותר) </w:t>
      </w:r>
      <w:bookmarkStart w:id="0" w:name="_GoBack"/>
      <w:bookmarkEnd w:id="0"/>
      <w:r>
        <w:rPr>
          <w:rFonts w:hint="cs"/>
          <w:rtl/>
        </w:rPr>
        <w:t>לכתחלה</w:t>
      </w:r>
      <w:r w:rsidR="00C86254">
        <w:t xml:space="preserve">; </w:t>
      </w:r>
      <w:r w:rsidR="00C86254">
        <w:rPr>
          <w:b w:val="0"/>
          <w:bCs w:val="0"/>
          <w:sz w:val="24"/>
          <w:szCs w:val="24"/>
        </w:rPr>
        <w:t xml:space="preserve">indicating a much stronger </w:t>
      </w:r>
      <w:r w:rsidR="00C86254">
        <w:rPr>
          <w:rFonts w:hint="cs"/>
          <w:b w:val="0"/>
          <w:bCs w:val="0"/>
          <w:sz w:val="24"/>
          <w:szCs w:val="24"/>
          <w:rtl/>
        </w:rPr>
        <w:t>היתר</w:t>
      </w:r>
      <w:r w:rsidR="00C86254">
        <w:rPr>
          <w:b w:val="0"/>
          <w:bCs w:val="0"/>
          <w:sz w:val="24"/>
          <w:szCs w:val="24"/>
        </w:rPr>
        <w:t xml:space="preserve">, than merely </w:t>
      </w:r>
      <w:r w:rsidR="00C86254">
        <w:rPr>
          <w:rFonts w:hint="cs"/>
          <w:b w:val="0"/>
          <w:bCs w:val="0"/>
          <w:sz w:val="24"/>
          <w:szCs w:val="24"/>
          <w:rtl/>
        </w:rPr>
        <w:t>נהגו</w:t>
      </w:r>
      <w:r w:rsidR="00C86254">
        <w:rPr>
          <w:b w:val="0"/>
          <w:bCs w:val="0"/>
          <w:sz w:val="24"/>
          <w:szCs w:val="24"/>
        </w:rPr>
        <w:t xml:space="preserve"> which is only </w:t>
      </w:r>
      <w:r w:rsidR="00C86254">
        <w:rPr>
          <w:rFonts w:hint="cs"/>
          <w:b w:val="0"/>
          <w:bCs w:val="0"/>
          <w:sz w:val="24"/>
          <w:szCs w:val="24"/>
          <w:rtl/>
        </w:rPr>
        <w:t>בדיעבד</w:t>
      </w:r>
      <w:r>
        <w:t>.</w:t>
      </w:r>
    </w:p>
    <w:p w:rsidR="009B4146" w:rsidRPr="00C86254" w:rsidRDefault="009B4146" w:rsidP="009B4146">
      <w:pPr>
        <w:rPr>
          <w:sz w:val="24"/>
          <w:szCs w:val="24"/>
        </w:rPr>
      </w:pPr>
    </w:p>
    <w:p w:rsidR="009B4146" w:rsidRPr="00C86254" w:rsidRDefault="009B4146" w:rsidP="009B4146">
      <w:pPr>
        <w:rPr>
          <w:b w:val="0"/>
          <w:bCs w:val="0"/>
          <w:sz w:val="24"/>
          <w:szCs w:val="24"/>
        </w:rPr>
      </w:pPr>
      <w:r w:rsidRPr="00C86254">
        <w:rPr>
          <w:rFonts w:hint="cs"/>
          <w:b w:val="0"/>
          <w:bCs w:val="0"/>
          <w:sz w:val="24"/>
          <w:szCs w:val="24"/>
          <w:rtl/>
        </w:rPr>
        <w:t>תוספות</w:t>
      </w:r>
      <w:r w:rsidRPr="00C86254">
        <w:rPr>
          <w:b w:val="0"/>
          <w:bCs w:val="0"/>
          <w:sz w:val="24"/>
          <w:szCs w:val="24"/>
        </w:rPr>
        <w:t xml:space="preserve"> cites and negates </w:t>
      </w:r>
      <w:r w:rsidRPr="00C86254">
        <w:rPr>
          <w:rFonts w:hint="cs"/>
          <w:b w:val="0"/>
          <w:bCs w:val="0"/>
          <w:sz w:val="24"/>
          <w:szCs w:val="24"/>
          <w:rtl/>
        </w:rPr>
        <w:t>פרש"י</w:t>
      </w:r>
      <w:r w:rsidRPr="00C86254">
        <w:rPr>
          <w:b w:val="0"/>
          <w:bCs w:val="0"/>
          <w:sz w:val="24"/>
          <w:szCs w:val="24"/>
        </w:rPr>
        <w:t>:</w:t>
      </w:r>
    </w:p>
    <w:p w:rsidR="003060BB" w:rsidRPr="00C86254" w:rsidRDefault="003060BB" w:rsidP="00C86254">
      <w:pPr>
        <w:bidi/>
        <w:rPr>
          <w:rFonts w:cs="David"/>
          <w:spacing w:val="-2"/>
        </w:rPr>
      </w:pPr>
      <w:r w:rsidRPr="00C86254">
        <w:rPr>
          <w:rFonts w:cs="David"/>
          <w:spacing w:val="-2"/>
          <w:rtl/>
        </w:rPr>
        <w:t>ופי</w:t>
      </w:r>
      <w:r w:rsidR="00FD1936" w:rsidRPr="00C86254">
        <w:rPr>
          <w:rFonts w:cs="David" w:hint="cs"/>
          <w:spacing w:val="-2"/>
          <w:rtl/>
        </w:rPr>
        <w:t>רוש</w:t>
      </w:r>
      <w:r w:rsidRPr="00C86254">
        <w:rPr>
          <w:rFonts w:cs="David"/>
          <w:spacing w:val="-2"/>
          <w:rtl/>
        </w:rPr>
        <w:t xml:space="preserve"> הקונטרס דפירש נהגו רובא דעלמא והכא מותר יחידי ולא גרסינן לכתחלה אינו מיושב</w:t>
      </w:r>
      <w:r w:rsidR="00FD1936" w:rsidRPr="00C86254">
        <w:rPr>
          <w:rFonts w:cs="David" w:hint="cs"/>
          <w:spacing w:val="-2"/>
          <w:rtl/>
        </w:rPr>
        <w:t>:</w:t>
      </w:r>
    </w:p>
    <w:p w:rsidR="003D4453" w:rsidRPr="009B4146" w:rsidRDefault="009B4146" w:rsidP="009B4146">
      <w:r>
        <w:t>And s</w:t>
      </w:r>
      <w:r>
        <w:rPr>
          <w:rFonts w:hint="cs"/>
          <w:rtl/>
        </w:rPr>
        <w:t>רש"י'</w:t>
      </w:r>
      <w:r>
        <w:t xml:space="preserve"> explanation</w:t>
      </w:r>
      <w:r w:rsidR="00C86254" w:rsidRPr="00C86254">
        <w:rPr>
          <w:rStyle w:val="FootnoteReference"/>
          <w:rFonts w:asciiTheme="majorBidi" w:hAnsiTheme="majorBidi" w:cstheme="majorBidi"/>
          <w:rtl/>
        </w:rPr>
        <w:footnoteReference w:id="3"/>
      </w:r>
      <w:r>
        <w:t xml:space="preserve"> that </w:t>
      </w:r>
      <w:r>
        <w:rPr>
          <w:rFonts w:hint="cs"/>
          <w:rtl/>
        </w:rPr>
        <w:t>נהגו</w:t>
      </w:r>
      <w:r>
        <w:t xml:space="preserve"> </w:t>
      </w:r>
      <w:r>
        <w:rPr>
          <w:b w:val="0"/>
          <w:bCs w:val="0"/>
        </w:rPr>
        <w:t xml:space="preserve">means </w:t>
      </w:r>
      <w:r>
        <w:t xml:space="preserve">the majority of the people, and </w:t>
      </w:r>
      <w:r>
        <w:rPr>
          <w:rFonts w:hint="cs"/>
          <w:rtl/>
        </w:rPr>
        <w:t>הכא מותר</w:t>
      </w:r>
      <w:r>
        <w:t xml:space="preserve"> means </w:t>
      </w:r>
      <w:r>
        <w:rPr>
          <w:b w:val="0"/>
          <w:bCs w:val="0"/>
        </w:rPr>
        <w:t xml:space="preserve">merely an </w:t>
      </w:r>
      <w:r>
        <w:t xml:space="preserve">individual, and the text does not read </w:t>
      </w:r>
      <w:r>
        <w:rPr>
          <w:rFonts w:hint="cs"/>
          <w:b w:val="0"/>
          <w:bCs w:val="0"/>
          <w:rtl/>
        </w:rPr>
        <w:t xml:space="preserve">מותר </w:t>
      </w:r>
      <w:r>
        <w:rPr>
          <w:rFonts w:hint="cs"/>
          <w:rtl/>
        </w:rPr>
        <w:t>לכתחלה</w:t>
      </w:r>
      <w:r>
        <w:t xml:space="preserve"> </w:t>
      </w:r>
      <w:r w:rsidRPr="009B4146">
        <w:rPr>
          <w:b w:val="0"/>
          <w:bCs w:val="0"/>
        </w:rPr>
        <w:t xml:space="preserve">(but rather only </w:t>
      </w:r>
      <w:r w:rsidRPr="009B4146">
        <w:rPr>
          <w:rFonts w:hint="cs"/>
          <w:b w:val="0"/>
          <w:bCs w:val="0"/>
          <w:rtl/>
        </w:rPr>
        <w:t>מותר</w:t>
      </w:r>
      <w:r w:rsidRPr="009B4146">
        <w:rPr>
          <w:b w:val="0"/>
          <w:bCs w:val="0"/>
        </w:rPr>
        <w:t>)</w:t>
      </w:r>
      <w:r>
        <w:rPr>
          <w:b w:val="0"/>
          <w:bCs w:val="0"/>
        </w:rPr>
        <w:t>; this explanation</w:t>
      </w:r>
      <w:r w:rsidR="007270BA">
        <w:rPr>
          <w:b w:val="0"/>
          <w:bCs w:val="0"/>
        </w:rPr>
        <w:t xml:space="preserve"> of </w:t>
      </w:r>
      <w:r w:rsidR="007270BA">
        <w:rPr>
          <w:rFonts w:hint="cs"/>
          <w:b w:val="0"/>
          <w:bCs w:val="0"/>
          <w:rtl/>
        </w:rPr>
        <w:t>רש"י</w:t>
      </w:r>
      <w:r>
        <w:rPr>
          <w:b w:val="0"/>
          <w:bCs w:val="0"/>
        </w:rPr>
        <w:t xml:space="preserve"> </w:t>
      </w:r>
      <w:r>
        <w:t>is not</w:t>
      </w:r>
      <w:r w:rsidRPr="009B4146">
        <w:t xml:space="preserve"> </w:t>
      </w:r>
      <w:r>
        <w:t>convincing.</w:t>
      </w:r>
      <w:r w:rsidR="007270BA">
        <w:rPr>
          <w:rStyle w:val="FootnoteReference"/>
        </w:rPr>
        <w:footnoteReference w:id="4"/>
      </w:r>
    </w:p>
    <w:p w:rsidR="009B4146" w:rsidRPr="006B7818" w:rsidRDefault="009B4146" w:rsidP="009B4146">
      <w:pPr>
        <w:rPr>
          <w:sz w:val="22"/>
          <w:szCs w:val="22"/>
        </w:rPr>
      </w:pPr>
    </w:p>
    <w:p w:rsidR="001936FC" w:rsidRPr="001936FC" w:rsidRDefault="001936FC" w:rsidP="001936FC">
      <w:pPr>
        <w:rPr>
          <w:rFonts w:ascii="Copperplate Gothic Bold" w:hAnsi="Copperplate Gothic Bold"/>
          <w:b w:val="0"/>
          <w:bCs w:val="0"/>
          <w:u w:val="double"/>
        </w:rPr>
      </w:pPr>
      <w:r w:rsidRPr="001936FC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1936FC" w:rsidRDefault="009B4146" w:rsidP="001936FC">
      <w:pPr>
        <w:rPr>
          <w:b w:val="0"/>
          <w:bCs w:val="0"/>
        </w:rPr>
      </w:pPr>
      <w:r>
        <w:rPr>
          <w:b w:val="0"/>
          <w:bCs w:val="0"/>
        </w:rPr>
        <w:t xml:space="preserve">According to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the term </w:t>
      </w:r>
      <w:r>
        <w:rPr>
          <w:rFonts w:hint="cs"/>
          <w:b w:val="0"/>
          <w:bCs w:val="0"/>
          <w:rtl/>
        </w:rPr>
        <w:t>מותר (לכתחלה)</w:t>
      </w:r>
      <w:r>
        <w:rPr>
          <w:b w:val="0"/>
          <w:bCs w:val="0"/>
        </w:rPr>
        <w:t xml:space="preserve"> is more permissible than </w:t>
      </w:r>
      <w:r>
        <w:rPr>
          <w:rFonts w:hint="cs"/>
          <w:b w:val="0"/>
          <w:bCs w:val="0"/>
          <w:rtl/>
        </w:rPr>
        <w:t>נהגו</w:t>
      </w:r>
      <w:r>
        <w:rPr>
          <w:b w:val="0"/>
          <w:bCs w:val="0"/>
        </w:rPr>
        <w:t xml:space="preserve"> and according to </w:t>
      </w:r>
      <w:r>
        <w:rPr>
          <w:rFonts w:hint="cs"/>
          <w:b w:val="0"/>
          <w:bCs w:val="0"/>
          <w:rtl/>
        </w:rPr>
        <w:t>רש"י</w:t>
      </w:r>
      <w:r>
        <w:rPr>
          <w:b w:val="0"/>
          <w:bCs w:val="0"/>
        </w:rPr>
        <w:t xml:space="preserve"> the reverse is true.</w:t>
      </w:r>
    </w:p>
    <w:p w:rsidR="001936FC" w:rsidRPr="006B7818" w:rsidRDefault="001936FC" w:rsidP="001936FC">
      <w:pPr>
        <w:rPr>
          <w:b w:val="0"/>
          <w:bCs w:val="0"/>
          <w:sz w:val="22"/>
          <w:szCs w:val="22"/>
        </w:rPr>
      </w:pPr>
    </w:p>
    <w:p w:rsidR="001936FC" w:rsidRPr="001936FC" w:rsidRDefault="001936FC" w:rsidP="001936FC">
      <w:pPr>
        <w:rPr>
          <w:rFonts w:ascii="Copperplate Gothic Bold" w:hAnsi="Copperplate Gothic Bold"/>
          <w:b w:val="0"/>
          <w:bCs w:val="0"/>
          <w:u w:val="double"/>
        </w:rPr>
      </w:pPr>
      <w:r w:rsidRPr="001936FC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1936FC" w:rsidRPr="001936FC" w:rsidRDefault="009B4146" w:rsidP="009B4146">
      <w:pPr>
        <w:rPr>
          <w:b w:val="0"/>
          <w:bCs w:val="0"/>
        </w:rPr>
      </w:pPr>
      <w:r>
        <w:rPr>
          <w:b w:val="0"/>
          <w:bCs w:val="0"/>
        </w:rPr>
        <w:t xml:space="preserve">Is the </w:t>
      </w:r>
      <w:r>
        <w:rPr>
          <w:rFonts w:hint="cs"/>
          <w:b w:val="0"/>
          <w:bCs w:val="0"/>
          <w:rtl/>
        </w:rPr>
        <w:t>גירסא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necessarily </w:t>
      </w:r>
      <w:r>
        <w:rPr>
          <w:rFonts w:hint="cs"/>
          <w:b w:val="0"/>
          <w:bCs w:val="0"/>
          <w:rtl/>
        </w:rPr>
        <w:t>מותר לכתחלה</w:t>
      </w:r>
      <w:r>
        <w:rPr>
          <w:b w:val="0"/>
          <w:bCs w:val="0"/>
        </w:rPr>
        <w:t xml:space="preserve"> or just </w:t>
      </w:r>
      <w:r>
        <w:rPr>
          <w:rFonts w:hint="cs"/>
          <w:b w:val="0"/>
          <w:bCs w:val="0"/>
          <w:rtl/>
        </w:rPr>
        <w:t>מותר</w:t>
      </w:r>
      <w:r>
        <w:rPr>
          <w:b w:val="0"/>
          <w:bCs w:val="0"/>
        </w:rPr>
        <w:t>?</w:t>
      </w:r>
      <w:r w:rsidR="006B7818">
        <w:rPr>
          <w:rStyle w:val="FootnoteReference"/>
          <w:b w:val="0"/>
          <w:bCs w:val="0"/>
        </w:rPr>
        <w:footnoteReference w:id="5"/>
      </w:r>
    </w:p>
    <w:sectPr w:rsidR="001936FC" w:rsidRPr="001936F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E1F" w:rsidRDefault="00B80E1F" w:rsidP="001936FC">
      <w:pPr>
        <w:spacing w:line="240" w:lineRule="auto"/>
      </w:pPr>
      <w:r>
        <w:separator/>
      </w:r>
    </w:p>
  </w:endnote>
  <w:endnote w:type="continuationSeparator" w:id="0">
    <w:p w:rsidR="00B80E1F" w:rsidRDefault="00B80E1F" w:rsidP="001936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818" w:rsidRPr="006B7818" w:rsidRDefault="006B7818" w:rsidP="006B7818">
    <w:pPr>
      <w:pStyle w:val="Footer"/>
      <w:jc w:val="center"/>
      <w:rPr>
        <w:b w:val="0"/>
        <w:bCs w:val="0"/>
        <w:sz w:val="16"/>
        <w:szCs w:val="16"/>
      </w:rPr>
    </w:pPr>
    <w:r w:rsidRPr="006B7818">
      <w:rPr>
        <w:b w:val="0"/>
        <w:bCs w:val="0"/>
        <w:sz w:val="16"/>
        <w:szCs w:val="16"/>
      </w:rPr>
      <w:t>TosfosInEnglish.com</w:t>
    </w:r>
  </w:p>
  <w:p w:rsidR="006B7818" w:rsidRDefault="006B78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E1F" w:rsidRDefault="00B80E1F" w:rsidP="001936FC">
      <w:pPr>
        <w:spacing w:line="240" w:lineRule="auto"/>
      </w:pPr>
      <w:r>
        <w:separator/>
      </w:r>
    </w:p>
  </w:footnote>
  <w:footnote w:type="continuationSeparator" w:id="0">
    <w:p w:rsidR="00B80E1F" w:rsidRDefault="00B80E1F" w:rsidP="001936FC">
      <w:pPr>
        <w:spacing w:line="240" w:lineRule="auto"/>
      </w:pPr>
      <w:r>
        <w:continuationSeparator/>
      </w:r>
    </w:p>
  </w:footnote>
  <w:footnote w:id="1">
    <w:p w:rsidR="00FD1936" w:rsidRPr="00C86254" w:rsidRDefault="00FD1936" w:rsidP="00C86254">
      <w:pPr>
        <w:pStyle w:val="FootnoteText"/>
        <w:spacing w:line="264" w:lineRule="auto"/>
        <w:rPr>
          <w:b w:val="0"/>
          <w:bCs w:val="0"/>
        </w:rPr>
      </w:pPr>
      <w:r w:rsidRPr="00C86254">
        <w:rPr>
          <w:rStyle w:val="FootnoteReference"/>
          <w:b w:val="0"/>
          <w:bCs w:val="0"/>
        </w:rPr>
        <w:footnoteRef/>
      </w:r>
      <w:r w:rsidRPr="00C86254">
        <w:rPr>
          <w:b w:val="0"/>
          <w:bCs w:val="0"/>
        </w:rPr>
        <w:t xml:space="preserve"> The last two </w:t>
      </w:r>
      <w:r w:rsidRPr="00C86254">
        <w:rPr>
          <w:rFonts w:hint="cs"/>
          <w:b w:val="0"/>
          <w:bCs w:val="0"/>
          <w:rtl/>
        </w:rPr>
        <w:t>תוספות</w:t>
      </w:r>
      <w:r w:rsidRPr="00C86254">
        <w:rPr>
          <w:b w:val="0"/>
          <w:bCs w:val="0"/>
        </w:rPr>
        <w:t xml:space="preserve"> on this </w:t>
      </w:r>
      <w:r w:rsidRPr="00C86254">
        <w:rPr>
          <w:rFonts w:hint="cs"/>
          <w:b w:val="0"/>
          <w:bCs w:val="0"/>
          <w:rtl/>
        </w:rPr>
        <w:t>עמוד (ד"ה תקנה וד"ה אי)</w:t>
      </w:r>
      <w:r w:rsidRPr="00C86254">
        <w:rPr>
          <w:b w:val="0"/>
          <w:bCs w:val="0"/>
        </w:rPr>
        <w:t xml:space="preserve">, should precede this </w:t>
      </w:r>
      <w:r w:rsidRPr="00C86254">
        <w:rPr>
          <w:rFonts w:hint="cs"/>
          <w:b w:val="0"/>
          <w:bCs w:val="0"/>
          <w:rtl/>
        </w:rPr>
        <w:t>תוספות</w:t>
      </w:r>
      <w:r w:rsidRPr="00C86254">
        <w:rPr>
          <w:b w:val="0"/>
          <w:bCs w:val="0"/>
        </w:rPr>
        <w:t>.</w:t>
      </w:r>
    </w:p>
  </w:footnote>
  <w:footnote w:id="2">
    <w:p w:rsidR="00FD1936" w:rsidRPr="00C86254" w:rsidRDefault="00FD1936" w:rsidP="00C86254">
      <w:pPr>
        <w:pStyle w:val="FootnoteText"/>
        <w:spacing w:line="264" w:lineRule="auto"/>
        <w:rPr>
          <w:b w:val="0"/>
          <w:bCs w:val="0"/>
          <w:spacing w:val="-2"/>
        </w:rPr>
      </w:pPr>
      <w:r w:rsidRPr="00C86254">
        <w:rPr>
          <w:rStyle w:val="FootnoteReference"/>
          <w:b w:val="0"/>
          <w:bCs w:val="0"/>
          <w:spacing w:val="-2"/>
        </w:rPr>
        <w:footnoteRef/>
      </w:r>
      <w:r w:rsidRPr="00C86254">
        <w:rPr>
          <w:b w:val="0"/>
          <w:bCs w:val="0"/>
          <w:spacing w:val="-2"/>
        </w:rPr>
        <w:t xml:space="preserve"> The </w:t>
      </w:r>
      <w:r w:rsidRPr="00C86254">
        <w:rPr>
          <w:rFonts w:hint="cs"/>
          <w:b w:val="0"/>
          <w:bCs w:val="0"/>
          <w:spacing w:val="-2"/>
          <w:rtl/>
        </w:rPr>
        <w:t>גמרא</w:t>
      </w:r>
      <w:r w:rsidRPr="00C86254">
        <w:rPr>
          <w:b w:val="0"/>
          <w:bCs w:val="0"/>
          <w:spacing w:val="-2"/>
        </w:rPr>
        <w:t xml:space="preserve"> there writes</w:t>
      </w:r>
      <w:r w:rsidR="007270BA" w:rsidRPr="00C86254">
        <w:rPr>
          <w:b w:val="0"/>
          <w:bCs w:val="0"/>
          <w:spacing w:val="-2"/>
        </w:rPr>
        <w:t xml:space="preserve">; </w:t>
      </w:r>
      <w:r w:rsidR="007270BA" w:rsidRPr="00C86254">
        <w:rPr>
          <w:b w:val="0"/>
          <w:bCs w:val="0"/>
          <w:spacing w:val="-2"/>
          <w:rtl/>
        </w:rPr>
        <w:t>ומאן</w:t>
      </w:r>
      <w:r w:rsidRPr="00C86254">
        <w:rPr>
          <w:b w:val="0"/>
          <w:bCs w:val="0"/>
          <w:spacing w:val="-2"/>
          <w:rtl/>
        </w:rPr>
        <w:t xml:space="preserve"> דאמר נהגו אורויי לא מורינן ואי עביד עביד ולא מהדרינן ליה</w:t>
      </w:r>
      <w:r w:rsidR="007270BA" w:rsidRPr="00C86254">
        <w:rPr>
          <w:b w:val="0"/>
          <w:bCs w:val="0"/>
          <w:spacing w:val="-2"/>
        </w:rPr>
        <w:t xml:space="preserve"> (… and if they did it, they did it and we do not protest against it); indicating the people did it on their own but did not receive explicit permission from </w:t>
      </w:r>
      <w:r w:rsidR="007270BA" w:rsidRPr="00C86254">
        <w:rPr>
          <w:rFonts w:hint="cs"/>
          <w:b w:val="0"/>
          <w:bCs w:val="0"/>
          <w:spacing w:val="-2"/>
          <w:rtl/>
        </w:rPr>
        <w:t>בי"ד</w:t>
      </w:r>
      <w:r w:rsidR="007270BA" w:rsidRPr="00C86254">
        <w:rPr>
          <w:b w:val="0"/>
          <w:bCs w:val="0"/>
          <w:spacing w:val="-2"/>
        </w:rPr>
        <w:t>.</w:t>
      </w:r>
    </w:p>
  </w:footnote>
  <w:footnote w:id="3">
    <w:p w:rsidR="00C86254" w:rsidRPr="00C86254" w:rsidRDefault="00C86254" w:rsidP="00C86254">
      <w:pPr>
        <w:pStyle w:val="FootnoteText"/>
        <w:spacing w:line="264" w:lineRule="auto"/>
        <w:rPr>
          <w:b w:val="0"/>
          <w:bCs w:val="0"/>
        </w:rPr>
      </w:pPr>
      <w:r w:rsidRPr="00C86254">
        <w:rPr>
          <w:rStyle w:val="FootnoteReference"/>
          <w:b w:val="0"/>
          <w:bCs w:val="0"/>
        </w:rPr>
        <w:footnoteRef/>
      </w:r>
      <w:r w:rsidRPr="00C86254">
        <w:rPr>
          <w:b w:val="0"/>
          <w:bCs w:val="0"/>
        </w:rPr>
        <w:t xml:space="preserve"> </w:t>
      </w:r>
      <w:r w:rsidRPr="00C86254">
        <w:rPr>
          <w:rFonts w:hint="cs"/>
          <w:b w:val="0"/>
          <w:bCs w:val="0"/>
          <w:rtl/>
        </w:rPr>
        <w:t>בד"ה התם וד"ה הכא</w:t>
      </w:r>
      <w:r w:rsidRPr="00C86254">
        <w:rPr>
          <w:b w:val="0"/>
          <w:bCs w:val="0"/>
        </w:rPr>
        <w:t>.</w:t>
      </w:r>
    </w:p>
  </w:footnote>
  <w:footnote w:id="4">
    <w:p w:rsidR="007270BA" w:rsidRPr="00C86254" w:rsidRDefault="007270BA" w:rsidP="00C86254">
      <w:pPr>
        <w:pStyle w:val="FootnoteText"/>
        <w:spacing w:line="264" w:lineRule="auto"/>
        <w:rPr>
          <w:b w:val="0"/>
          <w:bCs w:val="0"/>
        </w:rPr>
      </w:pPr>
      <w:r w:rsidRPr="00C86254">
        <w:rPr>
          <w:rStyle w:val="FootnoteReference"/>
          <w:b w:val="0"/>
          <w:bCs w:val="0"/>
        </w:rPr>
        <w:footnoteRef/>
      </w:r>
      <w:r w:rsidRPr="00C86254">
        <w:rPr>
          <w:b w:val="0"/>
          <w:bCs w:val="0"/>
        </w:rPr>
        <w:t xml:space="preserve"> The difficulty with </w:t>
      </w:r>
      <w:r w:rsidRPr="00C86254">
        <w:rPr>
          <w:rFonts w:hint="cs"/>
          <w:b w:val="0"/>
          <w:bCs w:val="0"/>
          <w:rtl/>
        </w:rPr>
        <w:t>פרש"י</w:t>
      </w:r>
      <w:r w:rsidRPr="00C86254">
        <w:rPr>
          <w:b w:val="0"/>
          <w:bCs w:val="0"/>
        </w:rPr>
        <w:t xml:space="preserve"> is from the abovementioned </w:t>
      </w:r>
      <w:r w:rsidRPr="00C86254">
        <w:rPr>
          <w:rFonts w:hint="cs"/>
          <w:b w:val="0"/>
          <w:bCs w:val="0"/>
          <w:rtl/>
        </w:rPr>
        <w:t>גמרא</w:t>
      </w:r>
      <w:r w:rsidRPr="00C86254">
        <w:rPr>
          <w:b w:val="0"/>
          <w:bCs w:val="0"/>
        </w:rPr>
        <w:t xml:space="preserve"> in </w:t>
      </w:r>
      <w:r w:rsidRPr="00C86254">
        <w:rPr>
          <w:rFonts w:hint="cs"/>
          <w:b w:val="0"/>
          <w:bCs w:val="0"/>
          <w:rtl/>
        </w:rPr>
        <w:t>תענית</w:t>
      </w:r>
      <w:r w:rsidRPr="00C86254">
        <w:rPr>
          <w:b w:val="0"/>
          <w:bCs w:val="0"/>
        </w:rPr>
        <w:t xml:space="preserve"> that </w:t>
      </w:r>
      <w:r w:rsidRPr="00C86254">
        <w:rPr>
          <w:rFonts w:hint="cs"/>
          <w:b w:val="0"/>
          <w:bCs w:val="0"/>
          <w:rtl/>
        </w:rPr>
        <w:t>נהגו</w:t>
      </w:r>
      <w:r w:rsidRPr="00C86254">
        <w:rPr>
          <w:b w:val="0"/>
          <w:bCs w:val="0"/>
        </w:rPr>
        <w:t xml:space="preserve"> is only </w:t>
      </w:r>
      <w:r w:rsidRPr="00C86254">
        <w:rPr>
          <w:rFonts w:hint="cs"/>
          <w:b w:val="0"/>
          <w:bCs w:val="0"/>
          <w:rtl/>
        </w:rPr>
        <w:t>בדיעבד</w:t>
      </w:r>
      <w:r w:rsidRPr="00C86254">
        <w:rPr>
          <w:b w:val="0"/>
          <w:bCs w:val="0"/>
        </w:rPr>
        <w:t>.</w:t>
      </w:r>
      <w:r w:rsidR="00C86254" w:rsidRPr="00C86254">
        <w:rPr>
          <w:b w:val="0"/>
          <w:bCs w:val="0"/>
        </w:rPr>
        <w:t xml:space="preserve"> In addition what is the question according to </w:t>
      </w:r>
      <w:r w:rsidR="00C86254" w:rsidRPr="00C86254">
        <w:rPr>
          <w:rFonts w:hint="cs"/>
          <w:b w:val="0"/>
          <w:bCs w:val="0"/>
          <w:rtl/>
        </w:rPr>
        <w:t>רש"י</w:t>
      </w:r>
      <w:r w:rsidR="00C86254" w:rsidRPr="00C86254">
        <w:rPr>
          <w:b w:val="0"/>
          <w:bCs w:val="0"/>
        </w:rPr>
        <w:t xml:space="preserve">; we can answer that by </w:t>
      </w:r>
      <w:r w:rsidR="00C86254" w:rsidRPr="00C86254">
        <w:rPr>
          <w:rFonts w:hint="cs"/>
          <w:b w:val="0"/>
          <w:bCs w:val="0"/>
          <w:rtl/>
        </w:rPr>
        <w:t>ג'</w:t>
      </w:r>
      <w:r w:rsidR="00C86254" w:rsidRPr="00C86254">
        <w:rPr>
          <w:b w:val="0"/>
          <w:bCs w:val="0"/>
        </w:rPr>
        <w:t xml:space="preserve"> where the </w:t>
      </w:r>
      <w:r w:rsidR="00C86254" w:rsidRPr="00C86254">
        <w:rPr>
          <w:rFonts w:hint="cs"/>
          <w:b w:val="0"/>
          <w:bCs w:val="0"/>
          <w:rtl/>
        </w:rPr>
        <w:t>תקנה</w:t>
      </w:r>
      <w:r w:rsidR="00C86254" w:rsidRPr="00C86254">
        <w:rPr>
          <w:b w:val="0"/>
          <w:bCs w:val="0"/>
        </w:rPr>
        <w:t xml:space="preserve"> was pushed off for merely one day it was </w:t>
      </w:r>
      <w:r w:rsidR="00C86254" w:rsidRPr="00C86254">
        <w:rPr>
          <w:rFonts w:hint="cs"/>
          <w:b w:val="0"/>
          <w:bCs w:val="0"/>
          <w:rtl/>
        </w:rPr>
        <w:t>נהגו (רוב העם)</w:t>
      </w:r>
      <w:r w:rsidR="00C86254" w:rsidRPr="00C86254">
        <w:rPr>
          <w:b w:val="0"/>
          <w:bCs w:val="0"/>
        </w:rPr>
        <w:t xml:space="preserve">, however by </w:t>
      </w:r>
      <w:r w:rsidR="00C86254" w:rsidRPr="00C86254">
        <w:rPr>
          <w:rFonts w:hint="cs"/>
          <w:b w:val="0"/>
          <w:bCs w:val="0"/>
          <w:rtl/>
        </w:rPr>
        <w:t>שני</w:t>
      </w:r>
      <w:r w:rsidR="00C86254" w:rsidRPr="00C86254">
        <w:rPr>
          <w:b w:val="0"/>
          <w:bCs w:val="0"/>
        </w:rPr>
        <w:t xml:space="preserve"> where the </w:t>
      </w:r>
      <w:r w:rsidR="00C86254" w:rsidRPr="00C86254">
        <w:rPr>
          <w:rFonts w:hint="cs"/>
          <w:b w:val="0"/>
          <w:bCs w:val="0"/>
          <w:rtl/>
        </w:rPr>
        <w:t>תק"ח</w:t>
      </w:r>
      <w:r w:rsidR="00C86254" w:rsidRPr="00C86254">
        <w:rPr>
          <w:b w:val="0"/>
          <w:bCs w:val="0"/>
        </w:rPr>
        <w:t xml:space="preserve"> was pushed off for two days, there it is merely </w:t>
      </w:r>
      <w:r w:rsidR="00C86254" w:rsidRPr="00C86254">
        <w:rPr>
          <w:rFonts w:hint="cs"/>
          <w:b w:val="0"/>
          <w:bCs w:val="0"/>
          <w:rtl/>
        </w:rPr>
        <w:t>מותר (ליחיד)</w:t>
      </w:r>
      <w:r w:rsidR="00C86254" w:rsidRPr="00C86254">
        <w:rPr>
          <w:b w:val="0"/>
          <w:bCs w:val="0"/>
        </w:rPr>
        <w:t xml:space="preserve"> (</w:t>
      </w:r>
      <w:r w:rsidR="00C86254" w:rsidRPr="00C86254">
        <w:rPr>
          <w:rFonts w:hint="cs"/>
          <w:b w:val="0"/>
          <w:bCs w:val="0"/>
          <w:rtl/>
        </w:rPr>
        <w:t>מהרש"א</w:t>
      </w:r>
      <w:r w:rsidR="00C86254" w:rsidRPr="00C86254">
        <w:rPr>
          <w:b w:val="0"/>
          <w:bCs w:val="0"/>
        </w:rPr>
        <w:t>).</w:t>
      </w:r>
    </w:p>
  </w:footnote>
  <w:footnote w:id="5">
    <w:p w:rsidR="006B7818" w:rsidRPr="006B7818" w:rsidRDefault="006B7818">
      <w:pPr>
        <w:pStyle w:val="FootnoteText"/>
        <w:rPr>
          <w:b w:val="0"/>
          <w:bCs w:val="0"/>
        </w:rPr>
      </w:pPr>
      <w:r w:rsidRPr="006B7818">
        <w:rPr>
          <w:rStyle w:val="FootnoteReference"/>
          <w:b w:val="0"/>
          <w:bCs w:val="0"/>
        </w:rPr>
        <w:footnoteRef/>
      </w:r>
      <w:r w:rsidRPr="006B7818">
        <w:rPr>
          <w:b w:val="0"/>
          <w:bCs w:val="0"/>
        </w:rPr>
        <w:t xml:space="preserve"> </w:t>
      </w:r>
      <w:proofErr w:type="gramStart"/>
      <w:r w:rsidRPr="006B7818">
        <w:rPr>
          <w:b w:val="0"/>
          <w:bCs w:val="0"/>
        </w:rPr>
        <w:t xml:space="preserve">See </w:t>
      </w:r>
      <w:r w:rsidRPr="006B7818">
        <w:rPr>
          <w:rFonts w:hint="cs"/>
          <w:b w:val="0"/>
          <w:bCs w:val="0"/>
          <w:rtl/>
        </w:rPr>
        <w:t>תוס' שאנץ</w:t>
      </w:r>
      <w:r w:rsidRPr="006B7818">
        <w:rPr>
          <w:b w:val="0"/>
          <w:bCs w:val="0"/>
        </w:rPr>
        <w:t>.</w:t>
      </w:r>
      <w:proofErr w:type="gramEnd"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36FC" w:rsidRPr="001936FC" w:rsidRDefault="001936FC" w:rsidP="001936FC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ג,ב תוס' ד"ה ותו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0BB"/>
    <w:rsid w:val="001936FC"/>
    <w:rsid w:val="003060BB"/>
    <w:rsid w:val="003D4453"/>
    <w:rsid w:val="006B7818"/>
    <w:rsid w:val="007270BA"/>
    <w:rsid w:val="009B4146"/>
    <w:rsid w:val="00B80E1F"/>
    <w:rsid w:val="00C86254"/>
    <w:rsid w:val="00FD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6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6FC"/>
  </w:style>
  <w:style w:type="paragraph" w:styleId="Footer">
    <w:name w:val="footer"/>
    <w:basedOn w:val="Normal"/>
    <w:link w:val="FooterChar"/>
    <w:uiPriority w:val="99"/>
    <w:unhideWhenUsed/>
    <w:rsid w:val="001936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6FC"/>
  </w:style>
  <w:style w:type="paragraph" w:styleId="FootnoteText">
    <w:name w:val="footnote text"/>
    <w:basedOn w:val="Normal"/>
    <w:link w:val="FootnoteTextChar"/>
    <w:uiPriority w:val="99"/>
    <w:semiHidden/>
    <w:unhideWhenUsed/>
    <w:rsid w:val="00FD193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193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193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8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8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6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6F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6FC"/>
  </w:style>
  <w:style w:type="paragraph" w:styleId="Footer">
    <w:name w:val="footer"/>
    <w:basedOn w:val="Normal"/>
    <w:link w:val="FooterChar"/>
    <w:uiPriority w:val="99"/>
    <w:unhideWhenUsed/>
    <w:rsid w:val="001936F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6FC"/>
  </w:style>
  <w:style w:type="paragraph" w:styleId="FootnoteText">
    <w:name w:val="footnote text"/>
    <w:basedOn w:val="Normal"/>
    <w:link w:val="FootnoteTextChar"/>
    <w:uiPriority w:val="99"/>
    <w:semiHidden/>
    <w:unhideWhenUsed/>
    <w:rsid w:val="00FD193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193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1936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78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78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3</cp:revision>
  <dcterms:created xsi:type="dcterms:W3CDTF">2016-04-05T00:53:00Z</dcterms:created>
  <dcterms:modified xsi:type="dcterms:W3CDTF">2016-04-05T01:52:00Z</dcterms:modified>
</cp:coreProperties>
</file>