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84" w:rsidRPr="00C11A84" w:rsidRDefault="00D40CEC" w:rsidP="00043978">
      <w:pPr>
        <w:bidi/>
        <w:rPr>
          <w:b w:val="0"/>
          <w:bCs w:val="0"/>
          <w:sz w:val="16"/>
          <w:szCs w:val="16"/>
        </w:rPr>
      </w:pPr>
      <w:r w:rsidRPr="00C11A84">
        <w:rPr>
          <w:sz w:val="36"/>
          <w:szCs w:val="36"/>
          <w:rtl/>
        </w:rPr>
        <w:t>זה</w:t>
      </w:r>
      <w:r w:rsidR="00C11A84">
        <w:rPr>
          <w:rFonts w:hint="cs"/>
          <w:rtl/>
        </w:rPr>
        <w:t xml:space="preserve"> </w:t>
      </w:r>
      <w:r w:rsidRPr="00C11A84">
        <w:rPr>
          <w:sz w:val="32"/>
          <w:szCs w:val="32"/>
          <w:rtl/>
        </w:rPr>
        <w:t>גודל</w:t>
      </w:r>
      <w:r w:rsidR="00C11A84">
        <w:rPr>
          <w:rFonts w:hint="cs"/>
          <w:sz w:val="32"/>
          <w:szCs w:val="32"/>
          <w:rtl/>
        </w:rPr>
        <w:t xml:space="preserve"> </w:t>
      </w:r>
      <w:r w:rsidR="00C11A84">
        <w:rPr>
          <w:sz w:val="32"/>
          <w:szCs w:val="32"/>
          <w:rtl/>
        </w:rPr>
        <w:t>–</w:t>
      </w:r>
      <w:r w:rsidR="00C11A84">
        <w:rPr>
          <w:rFonts w:hint="cs"/>
          <w:sz w:val="32"/>
          <w:szCs w:val="32"/>
          <w:rtl/>
        </w:rPr>
        <w:t xml:space="preserve"> </w:t>
      </w:r>
      <w:r w:rsidR="00C11A84">
        <w:rPr>
          <w:sz w:val="32"/>
          <w:szCs w:val="32"/>
        </w:rPr>
        <w:t xml:space="preserve">This is the thumb              </w:t>
      </w:r>
      <w:r w:rsidR="00043978">
        <w:rPr>
          <w:sz w:val="16"/>
          <w:szCs w:val="16"/>
        </w:rPr>
        <w:t xml:space="preserve">   </w:t>
      </w:r>
      <w:r w:rsidR="00C11A84">
        <w:rPr>
          <w:sz w:val="32"/>
          <w:szCs w:val="32"/>
        </w:rPr>
        <w:t xml:space="preserve">                         </w:t>
      </w:r>
      <w:r w:rsidR="0098309A">
        <w:rPr>
          <w:sz w:val="16"/>
          <w:szCs w:val="16"/>
        </w:rPr>
        <w:t xml:space="preserve">  </w:t>
      </w:r>
      <w:r w:rsidR="00C11A84">
        <w:rPr>
          <w:sz w:val="32"/>
          <w:szCs w:val="32"/>
        </w:rPr>
        <w:t xml:space="preserve">                            </w:t>
      </w:r>
      <w:r w:rsidR="00C11A84">
        <w:rPr>
          <w:sz w:val="16"/>
          <w:szCs w:val="16"/>
        </w:rPr>
        <w:t xml:space="preserve">     </w:t>
      </w:r>
    </w:p>
    <w:p w:rsidR="00C11A84" w:rsidRDefault="00C11A84" w:rsidP="00C11A84">
      <w:pPr>
        <w:bidi/>
        <w:rPr>
          <w:b w:val="0"/>
          <w:bCs w:val="0"/>
          <w:sz w:val="24"/>
          <w:szCs w:val="24"/>
          <w:rtl/>
        </w:rPr>
      </w:pPr>
    </w:p>
    <w:p w:rsidR="00C11A84" w:rsidRPr="00C11A84" w:rsidRDefault="00C11A84" w:rsidP="00C11A8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11A8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11A84" w:rsidRPr="00C11A84" w:rsidRDefault="00C11A84" w:rsidP="00BD7C1B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</w:t>
      </w:r>
      <w:r w:rsidR="00BD7C1B">
        <w:rPr>
          <w:b w:val="0"/>
          <w:bCs w:val="0"/>
        </w:rPr>
        <w:t xml:space="preserve">(a </w:t>
      </w:r>
      <w:r w:rsidR="00BD7C1B">
        <w:rPr>
          <w:rFonts w:hint="cs"/>
          <w:b w:val="0"/>
          <w:bCs w:val="0"/>
          <w:rtl/>
        </w:rPr>
        <w:t>ברייתא</w:t>
      </w:r>
      <w:r w:rsidR="00BD7C1B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that each finger has a special purpose in the </w:t>
      </w:r>
      <w:r>
        <w:rPr>
          <w:rFonts w:hint="cs"/>
          <w:b w:val="0"/>
          <w:bCs w:val="0"/>
          <w:rtl/>
        </w:rPr>
        <w:t>ביהמ"ק</w:t>
      </w:r>
      <w:r>
        <w:rPr>
          <w:b w:val="0"/>
          <w:bCs w:val="0"/>
        </w:rPr>
        <w:t xml:space="preserve"> (and therefore the fingers need to be separated). There is a dispute between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at to the utility of the thumb.</w:t>
      </w:r>
    </w:p>
    <w:p w:rsidR="00C11A84" w:rsidRDefault="00E03FCE" w:rsidP="00E03FCE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C11A84" w:rsidRPr="00E03FCE" w:rsidRDefault="00D40CEC" w:rsidP="00E03FCE">
      <w:pPr>
        <w:bidi/>
        <w:rPr>
          <w:rFonts w:cs="David"/>
        </w:rPr>
      </w:pPr>
      <w:r w:rsidRPr="00E03FCE">
        <w:rPr>
          <w:rFonts w:cs="David"/>
          <w:rtl/>
        </w:rPr>
        <w:t>פי</w:t>
      </w:r>
      <w:r w:rsidR="00C11A84" w:rsidRPr="00E03FCE">
        <w:rPr>
          <w:rFonts w:cs="David" w:hint="cs"/>
          <w:rtl/>
        </w:rPr>
        <w:t>רש</w:t>
      </w:r>
      <w:r w:rsidRPr="00E03FCE">
        <w:rPr>
          <w:rFonts w:cs="David"/>
          <w:rtl/>
        </w:rPr>
        <w:t xml:space="preserve"> בקונטרס לענין בהן יד</w:t>
      </w:r>
      <w:r w:rsidR="006B56DC" w:rsidRPr="00E03FCE">
        <w:rPr>
          <w:rStyle w:val="FootnoteReference"/>
          <w:rFonts w:cs="David"/>
          <w:rtl/>
        </w:rPr>
        <w:footnoteReference w:id="1"/>
      </w:r>
      <w:r w:rsidRPr="00E03FCE">
        <w:rPr>
          <w:rFonts w:cs="David"/>
          <w:rtl/>
        </w:rPr>
        <w:t xml:space="preserve"> דמצורע </w:t>
      </w:r>
      <w:r w:rsidR="00E03FCE">
        <w:rPr>
          <w:rFonts w:cs="David" w:hint="cs"/>
          <w:rtl/>
        </w:rPr>
        <w:t>-</w:t>
      </w:r>
    </w:p>
    <w:p w:rsidR="006B56DC" w:rsidRPr="00E03FCE" w:rsidRDefault="006B56DC" w:rsidP="006B56DC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that when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זה גודל</w:t>
      </w:r>
      <w:r>
        <w:rPr>
          <w:b w:val="0"/>
          <w:bCs w:val="0"/>
        </w:rPr>
        <w:t xml:space="preserve"> </w:t>
      </w:r>
      <w:r>
        <w:t>it is referring to the thumb of the s</w:t>
      </w:r>
      <w:r>
        <w:rPr>
          <w:rFonts w:hint="cs"/>
          <w:rtl/>
        </w:rPr>
        <w:t>מצורע'</w:t>
      </w:r>
      <w:r>
        <w:t xml:space="preserve"> hand; </w:t>
      </w:r>
      <w:r w:rsidRPr="00E03FCE">
        <w:rPr>
          <w:b w:val="0"/>
          <w:bCs w:val="0"/>
          <w:sz w:val="24"/>
          <w:szCs w:val="24"/>
        </w:rPr>
        <w:t>on which the blood and oil must be placed.</w:t>
      </w:r>
    </w:p>
    <w:p w:rsidR="006B56DC" w:rsidRPr="00E03FCE" w:rsidRDefault="006B56DC" w:rsidP="006B56DC">
      <w:pPr>
        <w:rPr>
          <w:b w:val="0"/>
          <w:bCs w:val="0"/>
          <w:sz w:val="24"/>
          <w:szCs w:val="24"/>
        </w:rPr>
      </w:pPr>
    </w:p>
    <w:p w:rsidR="006B56DC" w:rsidRPr="00E03FCE" w:rsidRDefault="006B56DC" w:rsidP="006B56DC">
      <w:pPr>
        <w:rPr>
          <w:b w:val="0"/>
          <w:bCs w:val="0"/>
          <w:sz w:val="24"/>
          <w:szCs w:val="24"/>
        </w:rPr>
      </w:pPr>
      <w:r w:rsidRPr="00E03FCE">
        <w:rPr>
          <w:rFonts w:hint="cs"/>
          <w:b w:val="0"/>
          <w:bCs w:val="0"/>
          <w:sz w:val="24"/>
          <w:szCs w:val="24"/>
          <w:rtl/>
        </w:rPr>
        <w:t>תוספות</w:t>
      </w:r>
      <w:r w:rsidRPr="00E03FCE">
        <w:rPr>
          <w:b w:val="0"/>
          <w:bCs w:val="0"/>
          <w:sz w:val="24"/>
          <w:szCs w:val="24"/>
        </w:rPr>
        <w:t xml:space="preserve"> disagrees:</w:t>
      </w:r>
    </w:p>
    <w:p w:rsidR="00C11A84" w:rsidRPr="00E03FCE" w:rsidRDefault="00D40CEC" w:rsidP="00E03FCE">
      <w:pPr>
        <w:bidi/>
        <w:rPr>
          <w:rFonts w:cs="David"/>
        </w:rPr>
      </w:pPr>
      <w:r w:rsidRPr="00E03FCE">
        <w:rPr>
          <w:rFonts w:cs="David"/>
          <w:rtl/>
        </w:rPr>
        <w:t>ואין נראה דאם כן הוה ליה למימר זה בהן</w:t>
      </w:r>
      <w:r w:rsidR="00290BD7" w:rsidRPr="00E03FCE">
        <w:rPr>
          <w:rStyle w:val="FootnoteReference"/>
          <w:rFonts w:cs="David"/>
          <w:rtl/>
        </w:rPr>
        <w:footnoteReference w:id="2"/>
      </w:r>
      <w:r w:rsidRPr="00E03FCE">
        <w:rPr>
          <w:rFonts w:cs="David"/>
          <w:rtl/>
        </w:rPr>
        <w:t xml:space="preserve"> </w:t>
      </w:r>
      <w:r w:rsidR="00E03FCE">
        <w:rPr>
          <w:rFonts w:cs="David" w:hint="cs"/>
          <w:rtl/>
        </w:rPr>
        <w:t>-</w:t>
      </w:r>
    </w:p>
    <w:p w:rsidR="006B56DC" w:rsidRDefault="006B56DC" w:rsidP="00E03FCE">
      <w:pPr>
        <w:rPr>
          <w:b w:val="0"/>
          <w:bCs w:val="0"/>
          <w:sz w:val="24"/>
          <w:szCs w:val="24"/>
        </w:rPr>
      </w:pPr>
      <w:r>
        <w:t xml:space="preserve">And it does not seem </w:t>
      </w:r>
      <w:r>
        <w:rPr>
          <w:b w:val="0"/>
          <w:bCs w:val="0"/>
        </w:rPr>
        <w:t xml:space="preserve">correct; </w:t>
      </w:r>
      <w:r>
        <w:t xml:space="preserve">for if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 xml:space="preserve"> refers to the </w:t>
      </w:r>
      <w:r>
        <w:rPr>
          <w:rFonts w:hint="cs"/>
          <w:b w:val="0"/>
          <w:bCs w:val="0"/>
          <w:rtl/>
        </w:rPr>
        <w:t>בהן יד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should have said </w:t>
      </w:r>
      <w:r>
        <w:rPr>
          <w:rFonts w:hint="cs"/>
          <w:rtl/>
        </w:rPr>
        <w:t>זה בהן</w:t>
      </w:r>
      <w:r w:rsidR="00E03FCE">
        <w:t>,</w:t>
      </w:r>
      <w:r>
        <w:t xml:space="preserve"> </w:t>
      </w:r>
      <w:r w:rsidRPr="00E03FCE">
        <w:rPr>
          <w:b w:val="0"/>
          <w:bCs w:val="0"/>
          <w:sz w:val="24"/>
          <w:szCs w:val="24"/>
        </w:rPr>
        <w:t xml:space="preserve">and not </w:t>
      </w:r>
      <w:r w:rsidRPr="00E03FCE">
        <w:rPr>
          <w:rFonts w:hint="cs"/>
          <w:b w:val="0"/>
          <w:bCs w:val="0"/>
          <w:sz w:val="24"/>
          <w:szCs w:val="24"/>
          <w:rtl/>
        </w:rPr>
        <w:t>זה גודל</w:t>
      </w:r>
      <w:r w:rsidRPr="00E03FCE">
        <w:rPr>
          <w:b w:val="0"/>
          <w:bCs w:val="0"/>
          <w:sz w:val="24"/>
          <w:szCs w:val="24"/>
        </w:rPr>
        <w:t xml:space="preserve"> </w:t>
      </w:r>
      <w:r w:rsidR="00E03FCE">
        <w:rPr>
          <w:b w:val="0"/>
          <w:bCs w:val="0"/>
          <w:sz w:val="24"/>
          <w:szCs w:val="24"/>
        </w:rPr>
        <w:t>–</w:t>
      </w:r>
    </w:p>
    <w:p w:rsidR="00E03FCE" w:rsidRDefault="00E03FCE" w:rsidP="00E03FCE">
      <w:pPr>
        <w:rPr>
          <w:b w:val="0"/>
          <w:bCs w:val="0"/>
          <w:sz w:val="24"/>
          <w:szCs w:val="24"/>
        </w:rPr>
      </w:pPr>
    </w:p>
    <w:p w:rsidR="00E03FCE" w:rsidRPr="00E03FCE" w:rsidRDefault="00E03FCE" w:rsidP="00E03FCE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has an additional question on </w:t>
      </w:r>
      <w:r>
        <w:rPr>
          <w:rFonts w:hint="cs"/>
          <w:b w:val="0"/>
          <w:bCs w:val="0"/>
          <w:sz w:val="24"/>
          <w:szCs w:val="24"/>
          <w:rtl/>
        </w:rPr>
        <w:t>פרש"י</w:t>
      </w:r>
      <w:r>
        <w:rPr>
          <w:b w:val="0"/>
          <w:bCs w:val="0"/>
          <w:sz w:val="24"/>
          <w:szCs w:val="24"/>
        </w:rPr>
        <w:t xml:space="preserve">: </w:t>
      </w:r>
    </w:p>
    <w:p w:rsidR="00C11A84" w:rsidRPr="00E03FCE" w:rsidRDefault="00D40CEC" w:rsidP="00E03FCE">
      <w:pPr>
        <w:bidi/>
        <w:rPr>
          <w:rFonts w:cs="David"/>
        </w:rPr>
      </w:pPr>
      <w:r w:rsidRPr="00E03FCE">
        <w:rPr>
          <w:rFonts w:cs="David"/>
          <w:rtl/>
        </w:rPr>
        <w:t>ועוד דאפילו לא מחלק</w:t>
      </w:r>
      <w:r w:rsidR="006B56DC" w:rsidRPr="00E03FCE">
        <w:rPr>
          <w:rStyle w:val="FootnoteReference"/>
          <w:rFonts w:cs="David"/>
          <w:rtl/>
        </w:rPr>
        <w:footnoteReference w:id="3"/>
      </w:r>
      <w:r w:rsidRPr="00E03FCE">
        <w:rPr>
          <w:rFonts w:cs="David"/>
          <w:rtl/>
        </w:rPr>
        <w:t xml:space="preserve"> מצי משוי על בהן שהוא קצר מכולם </w:t>
      </w:r>
      <w:r w:rsidR="00E03FCE">
        <w:rPr>
          <w:rFonts w:cs="David" w:hint="cs"/>
          <w:rtl/>
        </w:rPr>
        <w:t>-</w:t>
      </w:r>
    </w:p>
    <w:p w:rsidR="006B56DC" w:rsidRPr="00E03FCE" w:rsidRDefault="006B56DC" w:rsidP="006B56DC">
      <w:pPr>
        <w:rPr>
          <w:b w:val="0"/>
          <w:bCs w:val="0"/>
          <w:sz w:val="24"/>
          <w:szCs w:val="24"/>
        </w:rPr>
      </w:pPr>
      <w:r>
        <w:t xml:space="preserve">And furthermore </w:t>
      </w:r>
      <w:r>
        <w:rPr>
          <w:b w:val="0"/>
          <w:bCs w:val="0"/>
        </w:rPr>
        <w:t xml:space="preserve">if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 xml:space="preserve"> refers to the</w:t>
      </w:r>
      <w:r w:rsidR="00E03FCE">
        <w:rPr>
          <w:b w:val="0"/>
          <w:bCs w:val="0"/>
        </w:rPr>
        <w:t xml:space="preserve"> sprinkling on 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בהן</w:t>
      </w:r>
      <w:r>
        <w:t xml:space="preserve">, then even if </w:t>
      </w:r>
      <w:r>
        <w:rPr>
          <w:b w:val="0"/>
          <w:bCs w:val="0"/>
        </w:rPr>
        <w:t xml:space="preserve">the thumb </w:t>
      </w:r>
      <w:r>
        <w:t xml:space="preserve">would not be separate </w:t>
      </w:r>
      <w:r>
        <w:rPr>
          <w:b w:val="0"/>
          <w:bCs w:val="0"/>
        </w:rPr>
        <w:t xml:space="preserve">from the other fingers </w:t>
      </w:r>
      <w:r>
        <w:t xml:space="preserve">it would be possible to place </w:t>
      </w:r>
      <w:r>
        <w:rPr>
          <w:b w:val="0"/>
          <w:bCs w:val="0"/>
        </w:rPr>
        <w:t xml:space="preserve">the blood and the oil </w:t>
      </w:r>
      <w:r>
        <w:t xml:space="preserve">on the thumb, since it is shorter that all the other </w:t>
      </w:r>
      <w:r w:rsidRPr="00E03FCE">
        <w:rPr>
          <w:b w:val="0"/>
          <w:bCs w:val="0"/>
          <w:sz w:val="24"/>
          <w:szCs w:val="24"/>
        </w:rPr>
        <w:t>fingers.</w:t>
      </w:r>
    </w:p>
    <w:p w:rsidR="00BD7C1B" w:rsidRPr="00E03FCE" w:rsidRDefault="00BD7C1B" w:rsidP="006B56DC">
      <w:pPr>
        <w:rPr>
          <w:b w:val="0"/>
          <w:bCs w:val="0"/>
          <w:sz w:val="24"/>
          <w:szCs w:val="24"/>
        </w:rPr>
      </w:pPr>
    </w:p>
    <w:p w:rsidR="00BD7C1B" w:rsidRPr="00E03FCE" w:rsidRDefault="00BD7C1B" w:rsidP="006B56DC">
      <w:pPr>
        <w:rPr>
          <w:b w:val="0"/>
          <w:bCs w:val="0"/>
          <w:sz w:val="24"/>
          <w:szCs w:val="24"/>
        </w:rPr>
      </w:pPr>
      <w:r w:rsidRPr="00E03FCE">
        <w:rPr>
          <w:rFonts w:hint="cs"/>
          <w:b w:val="0"/>
          <w:bCs w:val="0"/>
          <w:sz w:val="24"/>
          <w:szCs w:val="24"/>
          <w:rtl/>
        </w:rPr>
        <w:t>תוספות</w:t>
      </w:r>
      <w:r w:rsidRPr="00E03FCE">
        <w:rPr>
          <w:b w:val="0"/>
          <w:bCs w:val="0"/>
          <w:sz w:val="24"/>
          <w:szCs w:val="24"/>
        </w:rPr>
        <w:t xml:space="preserve"> offers his explanation:</w:t>
      </w:r>
    </w:p>
    <w:p w:rsidR="00C11A84" w:rsidRPr="00E03FCE" w:rsidRDefault="00D40CEC" w:rsidP="00E03FCE">
      <w:pPr>
        <w:widowControl w:val="0"/>
        <w:bidi/>
        <w:rPr>
          <w:rFonts w:cs="David"/>
        </w:rPr>
      </w:pPr>
      <w:r w:rsidRPr="00E03FCE">
        <w:rPr>
          <w:rFonts w:cs="David"/>
          <w:rtl/>
        </w:rPr>
        <w:t>ונראה דלענין קמיצה קאמר</w:t>
      </w:r>
      <w:r w:rsidR="00783BD4" w:rsidRPr="00E03FCE">
        <w:rPr>
          <w:rStyle w:val="FootnoteReference"/>
          <w:rFonts w:cs="David"/>
          <w:rtl/>
        </w:rPr>
        <w:footnoteReference w:id="4"/>
      </w:r>
      <w:r w:rsidRPr="00E03FCE">
        <w:rPr>
          <w:rFonts w:cs="David"/>
          <w:rtl/>
        </w:rPr>
        <w:t xml:space="preserve"> כדתנן</w:t>
      </w:r>
      <w:r w:rsidR="00783BD4" w:rsidRPr="00E03FCE">
        <w:rPr>
          <w:rStyle w:val="FootnoteReference"/>
          <w:rFonts w:cs="David"/>
          <w:rtl/>
        </w:rPr>
        <w:footnoteReference w:id="5"/>
      </w:r>
      <w:r w:rsidRPr="00E03FCE">
        <w:rPr>
          <w:rFonts w:cs="David"/>
          <w:rtl/>
        </w:rPr>
        <w:t xml:space="preserve"> </w:t>
      </w:r>
      <w:r w:rsidRPr="00E03FCE">
        <w:rPr>
          <w:rFonts w:cs="David"/>
          <w:sz w:val="20"/>
          <w:szCs w:val="20"/>
          <w:rtl/>
        </w:rPr>
        <w:t>(מנחות דף יא</w:t>
      </w:r>
      <w:r w:rsidR="00C11A84" w:rsidRPr="00E03FCE">
        <w:rPr>
          <w:rFonts w:cs="David" w:hint="cs"/>
          <w:sz w:val="20"/>
          <w:szCs w:val="20"/>
          <w:rtl/>
        </w:rPr>
        <w:t>,א</w:t>
      </w:r>
      <w:r w:rsidRPr="00E03FCE">
        <w:rPr>
          <w:rFonts w:cs="David"/>
          <w:sz w:val="20"/>
          <w:szCs w:val="20"/>
          <w:rtl/>
        </w:rPr>
        <w:t>)</w:t>
      </w:r>
      <w:r w:rsidRPr="00E03FCE">
        <w:rPr>
          <w:rFonts w:cs="David"/>
          <w:rtl/>
        </w:rPr>
        <w:t xml:space="preserve"> מוחק</w:t>
      </w:r>
      <w:r w:rsidR="009D0A3C" w:rsidRPr="00E03FCE">
        <w:rPr>
          <w:rStyle w:val="FootnoteReference"/>
          <w:rFonts w:cs="David"/>
          <w:rtl/>
        </w:rPr>
        <w:footnoteReference w:id="6"/>
      </w:r>
      <w:r w:rsidRPr="00E03FCE">
        <w:rPr>
          <w:rFonts w:cs="David"/>
          <w:rtl/>
        </w:rPr>
        <w:t xml:space="preserve"> בגודל</w:t>
      </w:r>
      <w:r w:rsidR="00BD7C1B" w:rsidRPr="00E03FCE">
        <w:rPr>
          <w:rStyle w:val="FootnoteReference"/>
          <w:rFonts w:cs="David"/>
          <w:rtl/>
        </w:rPr>
        <w:footnoteReference w:id="7"/>
      </w:r>
      <w:r w:rsidRPr="00E03FCE">
        <w:rPr>
          <w:rFonts w:cs="David"/>
          <w:rtl/>
        </w:rPr>
        <w:t xml:space="preserve"> מלמעלה </w:t>
      </w:r>
      <w:r w:rsidR="00C11A84" w:rsidRPr="00E03FCE">
        <w:rPr>
          <w:rFonts w:cs="David"/>
          <w:rtl/>
        </w:rPr>
        <w:t>–</w:t>
      </w:r>
    </w:p>
    <w:p w:rsidR="00BD7C1B" w:rsidRPr="00C86BDF" w:rsidRDefault="00BD7C1B" w:rsidP="00E03FCE">
      <w:pPr>
        <w:widowControl w:val="0"/>
        <w:rPr>
          <w:sz w:val="24"/>
          <w:szCs w:val="24"/>
        </w:rPr>
      </w:pPr>
      <w:r>
        <w:t xml:space="preserve">And it is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זה גודל</w:t>
      </w:r>
      <w:r>
        <w:rPr>
          <w:b w:val="0"/>
          <w:bCs w:val="0"/>
        </w:rPr>
        <w:t xml:space="preserve"> </w:t>
      </w:r>
      <w:r>
        <w:t xml:space="preserve">was stated in regards to </w:t>
      </w:r>
      <w:r>
        <w:rPr>
          <w:rFonts w:hint="cs"/>
          <w:rtl/>
        </w:rPr>
        <w:t>קמיצה</w:t>
      </w:r>
      <w:r>
        <w:t xml:space="preserve">, as the </w:t>
      </w:r>
      <w:r w:rsidR="00783BD4">
        <w:rPr>
          <w:rFonts w:hint="cs"/>
          <w:b w:val="0"/>
          <w:bCs w:val="0"/>
          <w:rtl/>
        </w:rPr>
        <w:t>ברייתא</w:t>
      </w:r>
      <w:r>
        <w:t xml:space="preserve"> taught, ‘he tamps </w:t>
      </w:r>
      <w:r>
        <w:rPr>
          <w:b w:val="0"/>
          <w:bCs w:val="0"/>
        </w:rPr>
        <w:t xml:space="preserve">down </w:t>
      </w:r>
      <w:r>
        <w:t xml:space="preserve">with the thumb from above’; </w:t>
      </w:r>
      <w:r w:rsidRPr="00C86BDF">
        <w:rPr>
          <w:b w:val="0"/>
          <w:bCs w:val="0"/>
          <w:sz w:val="24"/>
          <w:szCs w:val="24"/>
        </w:rPr>
        <w:t xml:space="preserve">therefore the thumb </w:t>
      </w:r>
      <w:r w:rsidRPr="00C86BDF">
        <w:rPr>
          <w:b w:val="0"/>
          <w:bCs w:val="0"/>
          <w:sz w:val="24"/>
          <w:szCs w:val="24"/>
        </w:rPr>
        <w:lastRenderedPageBreak/>
        <w:t xml:space="preserve">needs to be separate in order to do this aspect of </w:t>
      </w:r>
      <w:r w:rsidRPr="00C86BDF">
        <w:rPr>
          <w:rFonts w:hint="cs"/>
          <w:b w:val="0"/>
          <w:bCs w:val="0"/>
          <w:sz w:val="24"/>
          <w:szCs w:val="24"/>
          <w:rtl/>
        </w:rPr>
        <w:t>קמיצה</w:t>
      </w:r>
      <w:r w:rsidRPr="00C86BDF">
        <w:rPr>
          <w:b w:val="0"/>
          <w:bCs w:val="0"/>
          <w:sz w:val="24"/>
          <w:szCs w:val="24"/>
        </w:rPr>
        <w:t xml:space="preserve"> -</w:t>
      </w:r>
      <w:r w:rsidRPr="00C86BDF">
        <w:rPr>
          <w:sz w:val="24"/>
          <w:szCs w:val="24"/>
        </w:rPr>
        <w:t xml:space="preserve"> </w:t>
      </w:r>
    </w:p>
    <w:p w:rsidR="00D40CEC" w:rsidRPr="00C86BDF" w:rsidRDefault="00D40CEC" w:rsidP="00E03FCE">
      <w:pPr>
        <w:widowControl w:val="0"/>
        <w:bidi/>
        <w:rPr>
          <w:rFonts w:cs="David"/>
        </w:rPr>
      </w:pPr>
      <w:r w:rsidRPr="00C86BDF">
        <w:rPr>
          <w:rFonts w:cs="David"/>
          <w:rtl/>
        </w:rPr>
        <w:t>אבל</w:t>
      </w:r>
      <w:r w:rsidR="00783BD4" w:rsidRPr="00C86BDF">
        <w:rPr>
          <w:rStyle w:val="FootnoteReference"/>
          <w:rFonts w:cs="David"/>
          <w:rtl/>
        </w:rPr>
        <w:footnoteReference w:id="8"/>
      </w:r>
      <w:r w:rsidRPr="00C86BDF">
        <w:rPr>
          <w:rFonts w:cs="David"/>
          <w:rtl/>
        </w:rPr>
        <w:t xml:space="preserve"> בידו אחרת לא יוכל לעשות דבעינן עבודה בימין</w:t>
      </w:r>
      <w:r w:rsidRPr="00C86BDF">
        <w:rPr>
          <w:rFonts w:cs="David"/>
        </w:rPr>
        <w:t>:</w:t>
      </w:r>
    </w:p>
    <w:p w:rsidR="00BD7C1B" w:rsidRPr="00C86BDF" w:rsidRDefault="00BD7C1B" w:rsidP="00E03FCE">
      <w:pPr>
        <w:widowControl w:val="0"/>
        <w:rPr>
          <w:b w:val="0"/>
          <w:bCs w:val="0"/>
          <w:sz w:val="24"/>
          <w:szCs w:val="24"/>
        </w:rPr>
      </w:pPr>
      <w:r>
        <w:t xml:space="preserve">However he could not do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מחק</w:t>
      </w:r>
      <w:r>
        <w:rPr>
          <w:b w:val="0"/>
          <w:bCs w:val="0"/>
        </w:rPr>
        <w:t xml:space="preserve"> </w:t>
      </w:r>
      <w:r>
        <w:t xml:space="preserve">with his other hand, for the service 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ביהמ"ק</w:t>
      </w:r>
      <w:r>
        <w:rPr>
          <w:b w:val="0"/>
          <w:bCs w:val="0"/>
        </w:rPr>
        <w:t xml:space="preserve"> </w:t>
      </w:r>
      <w:r>
        <w:t xml:space="preserve">is required </w:t>
      </w:r>
      <w:r>
        <w:rPr>
          <w:b w:val="0"/>
          <w:bCs w:val="0"/>
        </w:rPr>
        <w:t xml:space="preserve">to be done </w:t>
      </w:r>
      <w:r>
        <w:t xml:space="preserve">with the right </w:t>
      </w:r>
      <w:r w:rsidRPr="00C86BDF">
        <w:rPr>
          <w:b w:val="0"/>
          <w:bCs w:val="0"/>
          <w:sz w:val="24"/>
          <w:szCs w:val="24"/>
        </w:rPr>
        <w:t>hand.</w:t>
      </w:r>
    </w:p>
    <w:p w:rsidR="00C11A84" w:rsidRPr="00C86BDF" w:rsidRDefault="00C11A84" w:rsidP="00C11A84">
      <w:pPr>
        <w:bidi/>
        <w:rPr>
          <w:sz w:val="24"/>
          <w:szCs w:val="24"/>
        </w:rPr>
      </w:pPr>
    </w:p>
    <w:p w:rsidR="00C11A84" w:rsidRPr="00C11A84" w:rsidRDefault="00C11A84" w:rsidP="00C11A84">
      <w:pPr>
        <w:rPr>
          <w:rFonts w:ascii="Copperplate Gothic Bold" w:hAnsi="Copperplate Gothic Bold"/>
          <w:b w:val="0"/>
          <w:bCs w:val="0"/>
          <w:u w:val="double"/>
        </w:rPr>
      </w:pPr>
      <w:r w:rsidRPr="00C11A8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11A84" w:rsidRDefault="00783BD4" w:rsidP="00783BD4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 xml:space="preserve"> refers to the </w:t>
      </w:r>
      <w:r>
        <w:rPr>
          <w:rFonts w:hint="cs"/>
          <w:b w:val="0"/>
          <w:bCs w:val="0"/>
          <w:rtl/>
        </w:rPr>
        <w:t>בהן</w:t>
      </w:r>
      <w:r>
        <w:rPr>
          <w:b w:val="0"/>
          <w:bCs w:val="0"/>
        </w:rPr>
        <w:t xml:space="preserve"> regarding applying the </w:t>
      </w:r>
      <w:r>
        <w:rPr>
          <w:rFonts w:hint="cs"/>
          <w:b w:val="0"/>
          <w:bCs w:val="0"/>
          <w:rtl/>
        </w:rPr>
        <w:t>דם</w:t>
      </w:r>
      <w:r>
        <w:rPr>
          <w:b w:val="0"/>
          <w:bCs w:val="0"/>
        </w:rPr>
        <w:t xml:space="preserve"> there, while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maintains that it refers to the </w:t>
      </w:r>
      <w:r>
        <w:rPr>
          <w:rFonts w:hint="cs"/>
          <w:b w:val="0"/>
          <w:bCs w:val="0"/>
          <w:rtl/>
        </w:rPr>
        <w:t>מחק</w:t>
      </w:r>
      <w:r>
        <w:rPr>
          <w:b w:val="0"/>
          <w:bCs w:val="0"/>
        </w:rPr>
        <w:t xml:space="preserve"> of the </w:t>
      </w:r>
      <w:r>
        <w:rPr>
          <w:rFonts w:hint="cs"/>
          <w:b w:val="0"/>
          <w:bCs w:val="0"/>
          <w:rtl/>
        </w:rPr>
        <w:t>קמיצה</w:t>
      </w:r>
      <w:r>
        <w:rPr>
          <w:b w:val="0"/>
          <w:bCs w:val="0"/>
        </w:rPr>
        <w:t xml:space="preserve">, with the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>.</w:t>
      </w:r>
    </w:p>
    <w:p w:rsidR="00C11A84" w:rsidRPr="00C86BDF" w:rsidRDefault="00C11A84" w:rsidP="00C11A84">
      <w:pPr>
        <w:rPr>
          <w:b w:val="0"/>
          <w:bCs w:val="0"/>
          <w:sz w:val="24"/>
          <w:szCs w:val="24"/>
        </w:rPr>
      </w:pPr>
    </w:p>
    <w:p w:rsidR="00C11A84" w:rsidRPr="00C11A84" w:rsidRDefault="00C11A84" w:rsidP="00C11A84">
      <w:pPr>
        <w:rPr>
          <w:rFonts w:ascii="Copperplate Gothic Bold" w:hAnsi="Copperplate Gothic Bold"/>
          <w:b w:val="0"/>
          <w:bCs w:val="0"/>
          <w:u w:val="double"/>
        </w:rPr>
      </w:pPr>
      <w:r w:rsidRPr="00C11A8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11A84" w:rsidRDefault="00C41E12" w:rsidP="00783BD4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783BD4">
        <w:rPr>
          <w:rFonts w:hint="cs"/>
          <w:b w:val="0"/>
          <w:bCs w:val="0"/>
          <w:rtl/>
        </w:rPr>
        <w:t>תוספות</w:t>
      </w:r>
      <w:r w:rsidR="00783BD4">
        <w:rPr>
          <w:b w:val="0"/>
          <w:bCs w:val="0"/>
        </w:rPr>
        <w:t xml:space="preserve"> asks that according to </w:t>
      </w:r>
      <w:r w:rsidR="00783BD4">
        <w:rPr>
          <w:rFonts w:hint="cs"/>
          <w:b w:val="0"/>
          <w:bCs w:val="0"/>
          <w:rtl/>
        </w:rPr>
        <w:t>רש"י</w:t>
      </w:r>
      <w:r w:rsidR="00783BD4">
        <w:rPr>
          <w:b w:val="0"/>
          <w:bCs w:val="0"/>
        </w:rPr>
        <w:t xml:space="preserve"> the </w:t>
      </w:r>
      <w:r w:rsidR="00783BD4">
        <w:rPr>
          <w:rFonts w:hint="cs"/>
          <w:b w:val="0"/>
          <w:bCs w:val="0"/>
          <w:rtl/>
        </w:rPr>
        <w:t>גודל</w:t>
      </w:r>
      <w:r w:rsidR="00783BD4">
        <w:rPr>
          <w:b w:val="0"/>
          <w:bCs w:val="0"/>
        </w:rPr>
        <w:t xml:space="preserve"> could be attached.</w:t>
      </w:r>
      <w:r w:rsidR="00783BD4">
        <w:rPr>
          <w:rStyle w:val="FootnoteReference"/>
          <w:b w:val="0"/>
          <w:bCs w:val="0"/>
        </w:rPr>
        <w:footnoteReference w:id="9"/>
      </w:r>
      <w:r w:rsidR="00783BD4">
        <w:rPr>
          <w:b w:val="0"/>
          <w:bCs w:val="0"/>
        </w:rPr>
        <w:t xml:space="preserve"> The same question can be asked concerning the </w:t>
      </w:r>
      <w:r w:rsidR="00783BD4">
        <w:rPr>
          <w:rFonts w:hint="cs"/>
          <w:b w:val="0"/>
          <w:bCs w:val="0"/>
          <w:rtl/>
        </w:rPr>
        <w:t>אמה</w:t>
      </w:r>
      <w:r w:rsidR="00783BD4">
        <w:rPr>
          <w:b w:val="0"/>
          <w:bCs w:val="0"/>
        </w:rPr>
        <w:t xml:space="preserve">; it too need not be detached since it was </w:t>
      </w:r>
      <w:r w:rsidR="00C86BDF">
        <w:rPr>
          <w:b w:val="0"/>
          <w:bCs w:val="0"/>
        </w:rPr>
        <w:t xml:space="preserve">(only) </w:t>
      </w:r>
      <w:r w:rsidR="00783BD4">
        <w:rPr>
          <w:b w:val="0"/>
          <w:bCs w:val="0"/>
        </w:rPr>
        <w:t xml:space="preserve">needed to measure the </w:t>
      </w:r>
      <w:r w:rsidR="00783BD4">
        <w:rPr>
          <w:rFonts w:hint="cs"/>
          <w:b w:val="0"/>
          <w:bCs w:val="0"/>
          <w:rtl/>
        </w:rPr>
        <w:t>אמה</w:t>
      </w:r>
      <w:r w:rsidR="00783BD4">
        <w:rPr>
          <w:b w:val="0"/>
          <w:bCs w:val="0"/>
        </w:rPr>
        <w:t xml:space="preserve"> (of the </w:t>
      </w:r>
      <w:r w:rsidR="00783BD4">
        <w:rPr>
          <w:rFonts w:hint="cs"/>
          <w:b w:val="0"/>
          <w:bCs w:val="0"/>
          <w:rtl/>
        </w:rPr>
        <w:t>כלים</w:t>
      </w:r>
      <w:r w:rsidR="00783BD4">
        <w:rPr>
          <w:b w:val="0"/>
          <w:bCs w:val="0"/>
        </w:rPr>
        <w:t>), it could be done even if it was attached, since it is longer than all the other fingers!</w:t>
      </w:r>
      <w:r w:rsidR="00E03FCE">
        <w:rPr>
          <w:rStyle w:val="FootnoteReference"/>
          <w:b w:val="0"/>
          <w:bCs w:val="0"/>
        </w:rPr>
        <w:footnoteReference w:id="10"/>
      </w:r>
    </w:p>
    <w:p w:rsidR="00C41E12" w:rsidRDefault="00C41E12" w:rsidP="00783BD4">
      <w:pPr>
        <w:rPr>
          <w:b w:val="0"/>
          <w:bCs w:val="0"/>
        </w:rPr>
      </w:pPr>
    </w:p>
    <w:p w:rsidR="00C41E12" w:rsidRPr="00C11A84" w:rsidRDefault="00C41E12" w:rsidP="00783BD4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 xml:space="preserve"> could be attached. However if the </w:t>
      </w:r>
      <w:r>
        <w:rPr>
          <w:rFonts w:hint="cs"/>
          <w:b w:val="0"/>
          <w:bCs w:val="0"/>
          <w:rtl/>
        </w:rPr>
        <w:t>גודל</w:t>
      </w:r>
      <w:r>
        <w:rPr>
          <w:b w:val="0"/>
          <w:bCs w:val="0"/>
        </w:rPr>
        <w:t xml:space="preserve"> would be attached, the measurement of the </w:t>
      </w:r>
      <w:r>
        <w:rPr>
          <w:rFonts w:hint="cs"/>
          <w:b w:val="0"/>
          <w:bCs w:val="0"/>
          <w:rtl/>
        </w:rPr>
        <w:t>זרת</w:t>
      </w:r>
      <w:r>
        <w:rPr>
          <w:b w:val="0"/>
          <w:bCs w:val="0"/>
        </w:rPr>
        <w:t xml:space="preserve"> would be too small!</w:t>
      </w:r>
      <w:r>
        <w:rPr>
          <w:rStyle w:val="FootnoteReference"/>
          <w:b w:val="0"/>
          <w:bCs w:val="0"/>
        </w:rPr>
        <w:footnoteReference w:id="11"/>
      </w:r>
    </w:p>
    <w:p w:rsidR="003D4453" w:rsidRPr="00D40CEC" w:rsidRDefault="003D4453" w:rsidP="00D40CEC">
      <w:pPr>
        <w:bidi/>
      </w:pPr>
    </w:p>
    <w:sectPr w:rsidR="003D4453" w:rsidRPr="00D40C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62E" w:rsidRDefault="004F362E" w:rsidP="00C11A84">
      <w:pPr>
        <w:spacing w:line="240" w:lineRule="auto"/>
      </w:pPr>
      <w:r>
        <w:separator/>
      </w:r>
    </w:p>
  </w:endnote>
  <w:endnote w:type="continuationSeparator" w:id="0">
    <w:p w:rsidR="004F362E" w:rsidRDefault="004F362E" w:rsidP="00C1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338240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03FCE" w:rsidRDefault="00E03FC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E03FCE">
          <w:rPr>
            <w:b w:val="0"/>
            <w:bCs w:val="0"/>
            <w:sz w:val="20"/>
            <w:szCs w:val="20"/>
          </w:rPr>
          <w:fldChar w:fldCharType="begin"/>
        </w:r>
        <w:r w:rsidRPr="00E03FC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03FCE">
          <w:rPr>
            <w:b w:val="0"/>
            <w:bCs w:val="0"/>
            <w:sz w:val="20"/>
            <w:szCs w:val="20"/>
          </w:rPr>
          <w:fldChar w:fldCharType="separate"/>
        </w:r>
        <w:r w:rsidR="00B46C00">
          <w:rPr>
            <w:b w:val="0"/>
            <w:bCs w:val="0"/>
            <w:noProof/>
            <w:sz w:val="20"/>
            <w:szCs w:val="20"/>
          </w:rPr>
          <w:t>1</w:t>
        </w:r>
        <w:r w:rsidRPr="00E03FCE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E03FCE" w:rsidRPr="00E03FCE" w:rsidRDefault="00E03FCE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E03FCE" w:rsidRDefault="00E03F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62E" w:rsidRDefault="004F362E" w:rsidP="00C11A84">
      <w:pPr>
        <w:spacing w:line="240" w:lineRule="auto"/>
      </w:pPr>
      <w:r>
        <w:separator/>
      </w:r>
    </w:p>
  </w:footnote>
  <w:footnote w:type="continuationSeparator" w:id="0">
    <w:p w:rsidR="004F362E" w:rsidRDefault="004F362E" w:rsidP="00C11A84">
      <w:pPr>
        <w:spacing w:line="240" w:lineRule="auto"/>
      </w:pPr>
      <w:r>
        <w:continuationSeparator/>
      </w:r>
    </w:p>
  </w:footnote>
  <w:footnote w:id="1">
    <w:p w:rsidR="006B56DC" w:rsidRPr="00E03FCE" w:rsidRDefault="006B56DC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</w:t>
      </w:r>
      <w:r w:rsidRPr="00E03FCE">
        <w:rPr>
          <w:rFonts w:hint="cs"/>
          <w:b w:val="0"/>
          <w:bCs w:val="0"/>
          <w:rtl/>
        </w:rPr>
        <w:t>רש"י</w:t>
      </w:r>
      <w:r w:rsidRPr="00E03FCE">
        <w:rPr>
          <w:b w:val="0"/>
          <w:bCs w:val="0"/>
        </w:rPr>
        <w:t xml:space="preserve"> also mentions the </w:t>
      </w:r>
      <w:r w:rsidRPr="00E03FCE">
        <w:rPr>
          <w:rFonts w:hint="cs"/>
          <w:b w:val="0"/>
          <w:bCs w:val="0"/>
          <w:rtl/>
        </w:rPr>
        <w:t>בהן יד</w:t>
      </w:r>
      <w:r w:rsidRPr="00E03FCE">
        <w:rPr>
          <w:b w:val="0"/>
          <w:bCs w:val="0"/>
        </w:rPr>
        <w:t xml:space="preserve"> of </w:t>
      </w:r>
      <w:r w:rsidRPr="00E03FCE">
        <w:rPr>
          <w:rFonts w:hint="cs"/>
          <w:b w:val="0"/>
          <w:bCs w:val="0"/>
          <w:rtl/>
        </w:rPr>
        <w:t>אהרן</w:t>
      </w:r>
      <w:r w:rsidRPr="00E03FCE">
        <w:rPr>
          <w:b w:val="0"/>
          <w:bCs w:val="0"/>
        </w:rPr>
        <w:t xml:space="preserve"> (regarding the </w:t>
      </w:r>
      <w:r w:rsidRPr="00E03FCE">
        <w:rPr>
          <w:rFonts w:hint="cs"/>
          <w:b w:val="0"/>
          <w:bCs w:val="0"/>
          <w:rtl/>
        </w:rPr>
        <w:t>מילואים</w:t>
      </w:r>
      <w:r w:rsidRPr="00E03FCE">
        <w:rPr>
          <w:b w:val="0"/>
          <w:bCs w:val="0"/>
        </w:rPr>
        <w:t>).</w:t>
      </w:r>
    </w:p>
  </w:footnote>
  <w:footnote w:id="2">
    <w:p w:rsidR="00290BD7" w:rsidRPr="00E03FCE" w:rsidRDefault="00290BD7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By all the other fingers the </w:t>
      </w:r>
      <w:r w:rsidRPr="00E03FCE">
        <w:rPr>
          <w:rFonts w:hint="cs"/>
          <w:b w:val="0"/>
          <w:bCs w:val="0"/>
          <w:rtl/>
        </w:rPr>
        <w:t>ברייתא</w:t>
      </w:r>
      <w:r w:rsidRPr="00E03FCE">
        <w:rPr>
          <w:b w:val="0"/>
          <w:bCs w:val="0"/>
        </w:rPr>
        <w:t xml:space="preserve"> uses the</w:t>
      </w:r>
      <w:r w:rsidR="00783BD4" w:rsidRPr="00E03FCE">
        <w:rPr>
          <w:b w:val="0"/>
          <w:bCs w:val="0"/>
        </w:rPr>
        <w:t xml:space="preserve"> </w:t>
      </w:r>
      <w:r w:rsidR="00783BD4" w:rsidRPr="00E03FCE">
        <w:rPr>
          <w:rFonts w:hint="cs"/>
          <w:b w:val="0"/>
          <w:bCs w:val="0"/>
          <w:rtl/>
        </w:rPr>
        <w:t>תורה</w:t>
      </w:r>
      <w:r w:rsidRPr="00E03FCE">
        <w:rPr>
          <w:b w:val="0"/>
          <w:bCs w:val="0"/>
        </w:rPr>
        <w:t xml:space="preserve"> name for the task for which it is used; the </w:t>
      </w:r>
      <w:r w:rsidRPr="00E03FCE">
        <w:rPr>
          <w:rFonts w:hint="cs"/>
          <w:b w:val="0"/>
          <w:bCs w:val="0"/>
          <w:rtl/>
        </w:rPr>
        <w:t>זרת</w:t>
      </w:r>
      <w:r w:rsidRPr="00E03FCE">
        <w:rPr>
          <w:b w:val="0"/>
          <w:bCs w:val="0"/>
        </w:rPr>
        <w:t xml:space="preserve"> to measure the </w:t>
      </w:r>
      <w:r w:rsidRPr="00E03FCE">
        <w:rPr>
          <w:rFonts w:hint="cs"/>
          <w:b w:val="0"/>
          <w:bCs w:val="0"/>
          <w:rtl/>
        </w:rPr>
        <w:t>חשן</w:t>
      </w:r>
      <w:r w:rsidRPr="00E03FCE">
        <w:rPr>
          <w:b w:val="0"/>
          <w:bCs w:val="0"/>
        </w:rPr>
        <w:t xml:space="preserve"> which the </w:t>
      </w:r>
      <w:r w:rsidRPr="00E03FCE">
        <w:rPr>
          <w:rFonts w:hint="cs"/>
          <w:b w:val="0"/>
          <w:bCs w:val="0"/>
          <w:rtl/>
        </w:rPr>
        <w:t>תורה</w:t>
      </w:r>
      <w:r w:rsidRPr="00E03FCE">
        <w:rPr>
          <w:b w:val="0"/>
          <w:bCs w:val="0"/>
        </w:rPr>
        <w:t xml:space="preserve"> states its size is a </w:t>
      </w:r>
      <w:r w:rsidRPr="00E03FCE">
        <w:rPr>
          <w:rFonts w:hint="cs"/>
          <w:b w:val="0"/>
          <w:bCs w:val="0"/>
          <w:rtl/>
        </w:rPr>
        <w:t>זרת</w:t>
      </w:r>
      <w:r w:rsidRPr="00E03FCE">
        <w:rPr>
          <w:b w:val="0"/>
          <w:bCs w:val="0"/>
        </w:rPr>
        <w:t xml:space="preserve">, the same with the </w:t>
      </w:r>
      <w:r w:rsidRPr="00E03FCE">
        <w:rPr>
          <w:rFonts w:hint="cs"/>
          <w:b w:val="0"/>
          <w:bCs w:val="0"/>
          <w:rtl/>
        </w:rPr>
        <w:t>קמיצה, אמה</w:t>
      </w:r>
      <w:r w:rsidRPr="00E03FCE">
        <w:rPr>
          <w:b w:val="0"/>
          <w:bCs w:val="0"/>
        </w:rPr>
        <w:t xml:space="preserve">, and </w:t>
      </w:r>
      <w:r w:rsidRPr="00E03FCE">
        <w:rPr>
          <w:rFonts w:hint="cs"/>
          <w:b w:val="0"/>
          <w:bCs w:val="0"/>
          <w:rtl/>
        </w:rPr>
        <w:t>אצבע</w:t>
      </w:r>
      <w:r w:rsidR="00783BD4" w:rsidRPr="00E03FCE">
        <w:rPr>
          <w:b w:val="0"/>
          <w:bCs w:val="0"/>
        </w:rPr>
        <w:t xml:space="preserve">; why is </w:t>
      </w:r>
      <w:r w:rsidR="00783BD4" w:rsidRPr="00E03FCE">
        <w:rPr>
          <w:rFonts w:hint="cs"/>
          <w:b w:val="0"/>
          <w:bCs w:val="0"/>
          <w:rtl/>
        </w:rPr>
        <w:t>גודל</w:t>
      </w:r>
      <w:r w:rsidR="00783BD4" w:rsidRPr="00E03FCE">
        <w:rPr>
          <w:b w:val="0"/>
          <w:bCs w:val="0"/>
        </w:rPr>
        <w:t xml:space="preserve"> different?</w:t>
      </w:r>
    </w:p>
  </w:footnote>
  <w:footnote w:id="3">
    <w:p w:rsidR="006B56DC" w:rsidRPr="00E03FCE" w:rsidRDefault="006B56DC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The </w:t>
      </w:r>
      <w:r w:rsidRPr="00E03FCE">
        <w:rPr>
          <w:rFonts w:hint="cs"/>
          <w:b w:val="0"/>
          <w:bCs w:val="0"/>
          <w:rtl/>
        </w:rPr>
        <w:t>ברייתא</w:t>
      </w:r>
      <w:r w:rsidRPr="00E03FCE">
        <w:rPr>
          <w:b w:val="0"/>
          <w:bCs w:val="0"/>
        </w:rPr>
        <w:t xml:space="preserve"> of </w:t>
      </w:r>
      <w:r w:rsidRPr="00E03FCE">
        <w:rPr>
          <w:rFonts w:hint="cs"/>
          <w:b w:val="0"/>
          <w:bCs w:val="0"/>
          <w:rtl/>
        </w:rPr>
        <w:t>זה זרת וכו'</w:t>
      </w:r>
      <w:r w:rsidRPr="00E03FCE">
        <w:rPr>
          <w:b w:val="0"/>
          <w:bCs w:val="0"/>
        </w:rPr>
        <w:t xml:space="preserve"> explains to us the reason the fingers are separated so that we can do all these different </w:t>
      </w:r>
      <w:r w:rsidR="00BD7C1B" w:rsidRPr="00E03FCE">
        <w:rPr>
          <w:b w:val="0"/>
          <w:bCs w:val="0"/>
        </w:rPr>
        <w:t>t</w:t>
      </w:r>
      <w:r w:rsidR="00E03FCE">
        <w:rPr>
          <w:b w:val="0"/>
          <w:bCs w:val="0"/>
        </w:rPr>
        <w:t>ask</w:t>
      </w:r>
      <w:r w:rsidR="00BD7C1B" w:rsidRPr="00E03FCE">
        <w:rPr>
          <w:b w:val="0"/>
          <w:bCs w:val="0"/>
        </w:rPr>
        <w:t>s with each finger. However in order to sprinkle on the thumb it need not be separated.</w:t>
      </w:r>
      <w:r w:rsidR="00783BD4" w:rsidRPr="00E03FCE">
        <w:rPr>
          <w:b w:val="0"/>
          <w:bCs w:val="0"/>
        </w:rPr>
        <w:t xml:space="preserve"> See ‘Thinking it over’</w:t>
      </w:r>
      <w:r w:rsidR="00EF590A">
        <w:rPr>
          <w:b w:val="0"/>
          <w:bCs w:val="0"/>
        </w:rPr>
        <w:t xml:space="preserve"> #1 &amp; 2</w:t>
      </w:r>
      <w:r w:rsidR="00783BD4" w:rsidRPr="00E03FCE">
        <w:rPr>
          <w:b w:val="0"/>
          <w:bCs w:val="0"/>
        </w:rPr>
        <w:t>.</w:t>
      </w:r>
    </w:p>
  </w:footnote>
  <w:footnote w:id="4">
    <w:p w:rsidR="00783BD4" w:rsidRPr="00E03FCE" w:rsidRDefault="00783BD4" w:rsidP="00B46C00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We cannot call it </w:t>
      </w:r>
      <w:r w:rsidR="00B46C00">
        <w:rPr>
          <w:rFonts w:hint="cs"/>
          <w:b w:val="0"/>
          <w:bCs w:val="0"/>
          <w:rtl/>
        </w:rPr>
        <w:t>ק</w:t>
      </w:r>
      <w:r w:rsidRPr="00E03FCE">
        <w:rPr>
          <w:rFonts w:hint="cs"/>
          <w:b w:val="0"/>
          <w:bCs w:val="0"/>
          <w:rtl/>
        </w:rPr>
        <w:t>מיצה</w:t>
      </w:r>
      <w:bookmarkStart w:id="0" w:name="_GoBack"/>
      <w:bookmarkEnd w:id="0"/>
      <w:r w:rsidRPr="00E03FCE">
        <w:rPr>
          <w:b w:val="0"/>
          <w:bCs w:val="0"/>
        </w:rPr>
        <w:t xml:space="preserve"> however, since that name refers to the finger near the </w:t>
      </w:r>
      <w:r w:rsidRPr="00E03FCE">
        <w:rPr>
          <w:rFonts w:hint="cs"/>
          <w:b w:val="0"/>
          <w:bCs w:val="0"/>
          <w:rtl/>
        </w:rPr>
        <w:t>זרת</w:t>
      </w:r>
      <w:r w:rsidR="00E03FCE">
        <w:rPr>
          <w:b w:val="0"/>
          <w:bCs w:val="0"/>
        </w:rPr>
        <w:t xml:space="preserve"> (and it is merely an ancillary act of </w:t>
      </w:r>
      <w:r w:rsidR="00E03FCE">
        <w:rPr>
          <w:rFonts w:hint="cs"/>
          <w:b w:val="0"/>
          <w:bCs w:val="0"/>
          <w:rtl/>
        </w:rPr>
        <w:t>קמיצה</w:t>
      </w:r>
      <w:r w:rsidR="00E03FCE">
        <w:rPr>
          <w:b w:val="0"/>
          <w:bCs w:val="0"/>
        </w:rPr>
        <w:t xml:space="preserve">, not the actual </w:t>
      </w:r>
      <w:r w:rsidR="00E03FCE">
        <w:rPr>
          <w:rFonts w:hint="cs"/>
          <w:b w:val="0"/>
          <w:bCs w:val="0"/>
          <w:rtl/>
        </w:rPr>
        <w:t>קמיצה</w:t>
      </w:r>
      <w:r w:rsidR="00E03FCE">
        <w:rPr>
          <w:b w:val="0"/>
          <w:bCs w:val="0"/>
        </w:rPr>
        <w:t>)</w:t>
      </w:r>
      <w:r w:rsidRPr="00E03FCE">
        <w:rPr>
          <w:b w:val="0"/>
          <w:bCs w:val="0"/>
        </w:rPr>
        <w:t>.</w:t>
      </w:r>
    </w:p>
  </w:footnote>
  <w:footnote w:id="5">
    <w:p w:rsidR="00783BD4" w:rsidRPr="00E03FCE" w:rsidRDefault="00783BD4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This is actually a </w:t>
      </w:r>
      <w:r w:rsidRPr="00E03FCE">
        <w:rPr>
          <w:rFonts w:hint="cs"/>
          <w:b w:val="0"/>
          <w:bCs w:val="0"/>
          <w:rtl/>
        </w:rPr>
        <w:t>ברייתא</w:t>
      </w:r>
      <w:r w:rsidRPr="00E03FCE">
        <w:rPr>
          <w:b w:val="0"/>
          <w:bCs w:val="0"/>
        </w:rPr>
        <w:t xml:space="preserve"> not a </w:t>
      </w:r>
      <w:r w:rsidRPr="00E03FCE">
        <w:rPr>
          <w:rFonts w:hint="cs"/>
          <w:b w:val="0"/>
          <w:bCs w:val="0"/>
          <w:rtl/>
        </w:rPr>
        <w:t>משנה</w:t>
      </w:r>
      <w:r w:rsidRPr="00E03FCE">
        <w:rPr>
          <w:b w:val="0"/>
          <w:bCs w:val="0"/>
        </w:rPr>
        <w:t xml:space="preserve">; it should read </w:t>
      </w:r>
      <w:r w:rsidR="00EF590A">
        <w:rPr>
          <w:rFonts w:hint="cs"/>
          <w:b w:val="0"/>
          <w:bCs w:val="0"/>
          <w:rtl/>
        </w:rPr>
        <w:t>כ</w:t>
      </w:r>
      <w:r w:rsidRPr="00E03FCE">
        <w:rPr>
          <w:rFonts w:hint="cs"/>
          <w:b w:val="0"/>
          <w:bCs w:val="0"/>
          <w:rtl/>
        </w:rPr>
        <w:t>דתניא</w:t>
      </w:r>
      <w:r w:rsidRPr="00E03FCE">
        <w:rPr>
          <w:b w:val="0"/>
          <w:bCs w:val="0"/>
        </w:rPr>
        <w:t>.</w:t>
      </w:r>
    </w:p>
  </w:footnote>
  <w:footnote w:id="6">
    <w:p w:rsidR="009D0A3C" w:rsidRPr="00E03FCE" w:rsidRDefault="009D0A3C" w:rsidP="005168CA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The </w:t>
      </w:r>
      <w:r w:rsidRPr="00E03FCE">
        <w:rPr>
          <w:rFonts w:hint="cs"/>
          <w:b w:val="0"/>
          <w:bCs w:val="0"/>
          <w:rtl/>
        </w:rPr>
        <w:t>קומץ</w:t>
      </w:r>
      <w:r w:rsidRPr="00E03FCE">
        <w:rPr>
          <w:b w:val="0"/>
          <w:bCs w:val="0"/>
        </w:rPr>
        <w:t xml:space="preserve"> was </w:t>
      </w:r>
      <w:r w:rsidR="00290BD7" w:rsidRPr="00E03FCE">
        <w:rPr>
          <w:b w:val="0"/>
          <w:bCs w:val="0"/>
        </w:rPr>
        <w:t xml:space="preserve">part of </w:t>
      </w:r>
      <w:r w:rsidRPr="00E03FCE">
        <w:rPr>
          <w:b w:val="0"/>
          <w:bCs w:val="0"/>
        </w:rPr>
        <w:t xml:space="preserve">the </w:t>
      </w:r>
      <w:r w:rsidRPr="00E03FCE">
        <w:rPr>
          <w:rFonts w:hint="cs"/>
          <w:b w:val="0"/>
          <w:bCs w:val="0"/>
          <w:rtl/>
        </w:rPr>
        <w:t>מנחה</w:t>
      </w:r>
      <w:r w:rsidRPr="00E03FCE">
        <w:rPr>
          <w:b w:val="0"/>
          <w:bCs w:val="0"/>
        </w:rPr>
        <w:t xml:space="preserve"> that was </w:t>
      </w:r>
      <w:r w:rsidR="00290BD7" w:rsidRPr="00E03FCE">
        <w:rPr>
          <w:b w:val="0"/>
          <w:bCs w:val="0"/>
        </w:rPr>
        <w:t>removed</w:t>
      </w:r>
      <w:r w:rsidRPr="00E03FCE">
        <w:rPr>
          <w:b w:val="0"/>
          <w:bCs w:val="0"/>
        </w:rPr>
        <w:t xml:space="preserve"> with the three middle fingers</w:t>
      </w:r>
      <w:r w:rsidR="00290BD7" w:rsidRPr="00E03FCE">
        <w:rPr>
          <w:b w:val="0"/>
          <w:bCs w:val="0"/>
        </w:rPr>
        <w:t xml:space="preserve"> to be offered on the </w:t>
      </w:r>
      <w:r w:rsidR="00290BD7" w:rsidRPr="00E03FCE">
        <w:rPr>
          <w:rFonts w:hint="cs"/>
          <w:b w:val="0"/>
          <w:bCs w:val="0"/>
          <w:rtl/>
        </w:rPr>
        <w:t>מזבח</w:t>
      </w:r>
      <w:r w:rsidRPr="00E03FCE">
        <w:rPr>
          <w:b w:val="0"/>
          <w:bCs w:val="0"/>
        </w:rPr>
        <w:t xml:space="preserve">. However some of the </w:t>
      </w:r>
      <w:r w:rsidRPr="00E03FCE">
        <w:rPr>
          <w:rFonts w:hint="cs"/>
          <w:b w:val="0"/>
          <w:bCs w:val="0"/>
          <w:rtl/>
        </w:rPr>
        <w:t>מנחות</w:t>
      </w:r>
      <w:r w:rsidRPr="00E03FCE">
        <w:rPr>
          <w:b w:val="0"/>
          <w:bCs w:val="0"/>
        </w:rPr>
        <w:t xml:space="preserve"> were baked and then broken into pieces before the </w:t>
      </w:r>
      <w:r w:rsidRPr="00E03FCE">
        <w:rPr>
          <w:rFonts w:hint="cs"/>
          <w:b w:val="0"/>
          <w:bCs w:val="0"/>
          <w:rtl/>
        </w:rPr>
        <w:t>קמיצה</w:t>
      </w:r>
      <w:r w:rsidRPr="00E03FCE">
        <w:rPr>
          <w:b w:val="0"/>
          <w:bCs w:val="0"/>
        </w:rPr>
        <w:t>. Invariabl</w:t>
      </w:r>
      <w:r w:rsidR="005168CA">
        <w:rPr>
          <w:b w:val="0"/>
          <w:bCs w:val="0"/>
        </w:rPr>
        <w:t>y</w:t>
      </w:r>
      <w:r w:rsidRPr="00E03FCE">
        <w:rPr>
          <w:b w:val="0"/>
          <w:bCs w:val="0"/>
        </w:rPr>
        <w:t xml:space="preserve"> while making the </w:t>
      </w:r>
      <w:r w:rsidRPr="00E03FCE">
        <w:rPr>
          <w:rFonts w:hint="cs"/>
          <w:b w:val="0"/>
          <w:bCs w:val="0"/>
          <w:rtl/>
        </w:rPr>
        <w:t>קמיצה</w:t>
      </w:r>
      <w:r w:rsidRPr="00E03FCE">
        <w:rPr>
          <w:b w:val="0"/>
          <w:bCs w:val="0"/>
        </w:rPr>
        <w:t xml:space="preserve"> </w:t>
      </w:r>
      <w:r w:rsidR="00290BD7" w:rsidRPr="00E03FCE">
        <w:rPr>
          <w:b w:val="0"/>
          <w:bCs w:val="0"/>
        </w:rPr>
        <w:t>s</w:t>
      </w:r>
      <w:r w:rsidRPr="00E03FCE">
        <w:rPr>
          <w:b w:val="0"/>
          <w:bCs w:val="0"/>
        </w:rPr>
        <w:t>ome of the pieces stuck out beyond the three fingers (above an</w:t>
      </w:r>
      <w:r w:rsidR="00290BD7" w:rsidRPr="00E03FCE">
        <w:rPr>
          <w:b w:val="0"/>
          <w:bCs w:val="0"/>
        </w:rPr>
        <w:t>d</w:t>
      </w:r>
      <w:r w:rsidRPr="00E03FCE">
        <w:rPr>
          <w:b w:val="0"/>
          <w:bCs w:val="0"/>
        </w:rPr>
        <w:t xml:space="preserve"> below)</w:t>
      </w:r>
      <w:r w:rsidR="00290BD7" w:rsidRPr="00E03FCE">
        <w:rPr>
          <w:b w:val="0"/>
          <w:bCs w:val="0"/>
        </w:rPr>
        <w:t xml:space="preserve">. The thumb and the pinky were used to tamp down the </w:t>
      </w:r>
      <w:r w:rsidR="00290BD7" w:rsidRPr="00E03FCE">
        <w:rPr>
          <w:rFonts w:hint="cs"/>
          <w:b w:val="0"/>
          <w:bCs w:val="0"/>
          <w:rtl/>
        </w:rPr>
        <w:t>קמיצה</w:t>
      </w:r>
      <w:r w:rsidR="00290BD7" w:rsidRPr="00E03FCE">
        <w:rPr>
          <w:b w:val="0"/>
          <w:bCs w:val="0"/>
        </w:rPr>
        <w:t xml:space="preserve"> so that only three fingers full of </w:t>
      </w:r>
      <w:r w:rsidR="00290BD7" w:rsidRPr="00E03FCE">
        <w:rPr>
          <w:rFonts w:hint="cs"/>
          <w:b w:val="0"/>
          <w:bCs w:val="0"/>
          <w:rtl/>
        </w:rPr>
        <w:t>מנחה</w:t>
      </w:r>
      <w:r w:rsidR="00290BD7" w:rsidRPr="00E03FCE">
        <w:rPr>
          <w:b w:val="0"/>
          <w:bCs w:val="0"/>
        </w:rPr>
        <w:t xml:space="preserve"> were brought on the </w:t>
      </w:r>
      <w:r w:rsidR="00290BD7" w:rsidRPr="00E03FCE">
        <w:rPr>
          <w:rFonts w:hint="cs"/>
          <w:b w:val="0"/>
          <w:bCs w:val="0"/>
          <w:rtl/>
        </w:rPr>
        <w:t>מזבח</w:t>
      </w:r>
      <w:r w:rsidR="00290BD7" w:rsidRPr="00E03FCE">
        <w:rPr>
          <w:b w:val="0"/>
          <w:bCs w:val="0"/>
        </w:rPr>
        <w:t xml:space="preserve"> and no more.</w:t>
      </w:r>
    </w:p>
  </w:footnote>
  <w:footnote w:id="7">
    <w:p w:rsidR="00BD7C1B" w:rsidRPr="00E03FCE" w:rsidRDefault="00BD7C1B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The thumb (here by </w:t>
      </w:r>
      <w:r w:rsidRPr="00E03FCE">
        <w:rPr>
          <w:rFonts w:hint="cs"/>
          <w:b w:val="0"/>
          <w:bCs w:val="0"/>
          <w:rtl/>
        </w:rPr>
        <w:t>קמיצה</w:t>
      </w:r>
      <w:r w:rsidRPr="00E03FCE">
        <w:rPr>
          <w:b w:val="0"/>
          <w:bCs w:val="0"/>
        </w:rPr>
        <w:t xml:space="preserve">) is referred to as </w:t>
      </w:r>
      <w:r w:rsidRPr="00E03FCE">
        <w:rPr>
          <w:rFonts w:hint="cs"/>
          <w:b w:val="0"/>
          <w:bCs w:val="0"/>
          <w:rtl/>
        </w:rPr>
        <w:t>גודל</w:t>
      </w:r>
      <w:r w:rsidRPr="00E03FCE">
        <w:rPr>
          <w:b w:val="0"/>
          <w:bCs w:val="0"/>
        </w:rPr>
        <w:t xml:space="preserve">, therefore the </w:t>
      </w:r>
      <w:r w:rsidRPr="00E03FCE">
        <w:rPr>
          <w:rFonts w:hint="cs"/>
          <w:b w:val="0"/>
          <w:bCs w:val="0"/>
          <w:rtl/>
        </w:rPr>
        <w:t>ברייתא</w:t>
      </w:r>
      <w:r w:rsidRPr="00E03FCE">
        <w:rPr>
          <w:b w:val="0"/>
          <w:bCs w:val="0"/>
        </w:rPr>
        <w:t xml:space="preserve"> (also) stated </w:t>
      </w:r>
      <w:r w:rsidRPr="00E03FCE">
        <w:rPr>
          <w:rFonts w:hint="cs"/>
          <w:b w:val="0"/>
          <w:bCs w:val="0"/>
          <w:rtl/>
        </w:rPr>
        <w:t>גודל</w:t>
      </w:r>
      <w:r w:rsidRPr="00E03FCE">
        <w:rPr>
          <w:b w:val="0"/>
          <w:bCs w:val="0"/>
        </w:rPr>
        <w:t xml:space="preserve"> and not </w:t>
      </w:r>
      <w:r w:rsidRPr="00E03FCE">
        <w:rPr>
          <w:rFonts w:hint="cs"/>
          <w:b w:val="0"/>
          <w:bCs w:val="0"/>
          <w:rtl/>
        </w:rPr>
        <w:t>בהן</w:t>
      </w:r>
      <w:r w:rsidRPr="00E03FCE">
        <w:rPr>
          <w:b w:val="0"/>
          <w:bCs w:val="0"/>
        </w:rPr>
        <w:t>.</w:t>
      </w:r>
    </w:p>
  </w:footnote>
  <w:footnote w:id="8">
    <w:p w:rsidR="00783BD4" w:rsidRPr="00E03FCE" w:rsidRDefault="00783BD4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</w:t>
      </w:r>
      <w:r w:rsidRPr="00E03FCE">
        <w:rPr>
          <w:rFonts w:hint="cs"/>
          <w:b w:val="0"/>
          <w:bCs w:val="0"/>
          <w:rtl/>
        </w:rPr>
        <w:t>תוספות</w:t>
      </w:r>
      <w:r w:rsidRPr="00E03FCE">
        <w:rPr>
          <w:b w:val="0"/>
          <w:bCs w:val="0"/>
        </w:rPr>
        <w:t xml:space="preserve"> explains why the </w:t>
      </w:r>
      <w:r w:rsidRPr="00E03FCE">
        <w:rPr>
          <w:rFonts w:hint="cs"/>
          <w:b w:val="0"/>
          <w:bCs w:val="0"/>
          <w:rtl/>
        </w:rPr>
        <w:t>גודל</w:t>
      </w:r>
      <w:r w:rsidRPr="00E03FCE">
        <w:rPr>
          <w:b w:val="0"/>
          <w:bCs w:val="0"/>
        </w:rPr>
        <w:t xml:space="preserve"> cannot be attached and we will do the </w:t>
      </w:r>
      <w:r w:rsidRPr="00E03FCE">
        <w:rPr>
          <w:rFonts w:hint="cs"/>
          <w:b w:val="0"/>
          <w:bCs w:val="0"/>
          <w:rtl/>
        </w:rPr>
        <w:t>מחק</w:t>
      </w:r>
      <w:r w:rsidRPr="00E03FCE">
        <w:rPr>
          <w:b w:val="0"/>
          <w:bCs w:val="0"/>
        </w:rPr>
        <w:t xml:space="preserve"> with the other (left) hand.</w:t>
      </w:r>
    </w:p>
  </w:footnote>
  <w:footnote w:id="9">
    <w:p w:rsidR="00783BD4" w:rsidRPr="00E03FCE" w:rsidRDefault="00783BD4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See footnote # 3.</w:t>
      </w:r>
    </w:p>
  </w:footnote>
  <w:footnote w:id="10">
    <w:p w:rsidR="00E03FCE" w:rsidRPr="00E03FCE" w:rsidRDefault="00E03FCE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E03FCE">
        <w:rPr>
          <w:rStyle w:val="FootnoteReference"/>
          <w:b w:val="0"/>
          <w:bCs w:val="0"/>
        </w:rPr>
        <w:footnoteRef/>
      </w:r>
      <w:r w:rsidRPr="00E03FCE">
        <w:rPr>
          <w:b w:val="0"/>
          <w:bCs w:val="0"/>
        </w:rPr>
        <w:t xml:space="preserve"> See </w:t>
      </w:r>
      <w:r w:rsidRPr="00E03FCE">
        <w:rPr>
          <w:rFonts w:hint="cs"/>
          <w:b w:val="0"/>
          <w:bCs w:val="0"/>
          <w:rtl/>
        </w:rPr>
        <w:t>רש"ש</w:t>
      </w:r>
      <w:r w:rsidRPr="00E03FCE">
        <w:rPr>
          <w:b w:val="0"/>
          <w:bCs w:val="0"/>
        </w:rPr>
        <w:t>.</w:t>
      </w:r>
    </w:p>
  </w:footnote>
  <w:footnote w:id="11">
    <w:p w:rsidR="00C41E12" w:rsidRPr="00C41E12" w:rsidRDefault="00C41E12" w:rsidP="00C41E12">
      <w:pPr>
        <w:pStyle w:val="FootnoteText"/>
        <w:widowControl w:val="0"/>
        <w:spacing w:line="264" w:lineRule="auto"/>
        <w:rPr>
          <w:b w:val="0"/>
          <w:bCs w:val="0"/>
        </w:rPr>
      </w:pPr>
      <w:r w:rsidRPr="00C41E12">
        <w:rPr>
          <w:rStyle w:val="FootnoteReference"/>
          <w:b w:val="0"/>
          <w:bCs w:val="0"/>
        </w:rPr>
        <w:footnoteRef/>
      </w:r>
      <w:r w:rsidRPr="00C41E12">
        <w:rPr>
          <w:b w:val="0"/>
          <w:bCs w:val="0"/>
        </w:rPr>
        <w:t xml:space="preserve"> The </w:t>
      </w:r>
      <w:r w:rsidRPr="00C41E12">
        <w:rPr>
          <w:rFonts w:hint="cs"/>
          <w:b w:val="0"/>
          <w:bCs w:val="0"/>
          <w:rtl/>
        </w:rPr>
        <w:t>זרת</w:t>
      </w:r>
      <w:r w:rsidRPr="00C41E12">
        <w:rPr>
          <w:b w:val="0"/>
          <w:bCs w:val="0"/>
        </w:rPr>
        <w:t xml:space="preserve"> measurement is the distance from the thumb to the pinky when they are spread out. Therefore the </w:t>
      </w:r>
      <w:r w:rsidRPr="00C41E12">
        <w:rPr>
          <w:rFonts w:hint="cs"/>
          <w:b w:val="0"/>
          <w:bCs w:val="0"/>
          <w:rtl/>
        </w:rPr>
        <w:t>גודל</w:t>
      </w:r>
      <w:r w:rsidRPr="00C41E12">
        <w:rPr>
          <w:b w:val="0"/>
          <w:bCs w:val="0"/>
        </w:rPr>
        <w:t xml:space="preserve"> must be detached!</w:t>
      </w:r>
      <w:r>
        <w:rPr>
          <w:b w:val="0"/>
          <w:bCs w:val="0"/>
        </w:rPr>
        <w:t xml:space="preserve"> See </w:t>
      </w:r>
      <w:r>
        <w:rPr>
          <w:rFonts w:hint="cs"/>
          <w:b w:val="0"/>
          <w:bCs w:val="0"/>
          <w:rtl/>
        </w:rPr>
        <w:t>סוכ"ד אות כה ד"ה והנה קושית</w:t>
      </w:r>
      <w:r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A84" w:rsidRPr="00C11A84" w:rsidRDefault="00C11A84" w:rsidP="00C11A84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ה,ב תוס' ד"ה זה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EC"/>
    <w:rsid w:val="00043978"/>
    <w:rsid w:val="00290BD7"/>
    <w:rsid w:val="003D4453"/>
    <w:rsid w:val="004F362E"/>
    <w:rsid w:val="005168CA"/>
    <w:rsid w:val="006B56DC"/>
    <w:rsid w:val="006E036D"/>
    <w:rsid w:val="00783BD4"/>
    <w:rsid w:val="0098309A"/>
    <w:rsid w:val="009D0A3C"/>
    <w:rsid w:val="00B46C00"/>
    <w:rsid w:val="00BD7C1B"/>
    <w:rsid w:val="00C11A84"/>
    <w:rsid w:val="00C34C08"/>
    <w:rsid w:val="00C41E12"/>
    <w:rsid w:val="00C86BDF"/>
    <w:rsid w:val="00D40CEC"/>
    <w:rsid w:val="00E03FCE"/>
    <w:rsid w:val="00E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84"/>
  </w:style>
  <w:style w:type="paragraph" w:styleId="Footer">
    <w:name w:val="footer"/>
    <w:basedOn w:val="Normal"/>
    <w:link w:val="FooterChar"/>
    <w:uiPriority w:val="99"/>
    <w:unhideWhenUsed/>
    <w:rsid w:val="00C11A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84"/>
  </w:style>
  <w:style w:type="paragraph" w:styleId="FootnoteText">
    <w:name w:val="footnote text"/>
    <w:basedOn w:val="Normal"/>
    <w:link w:val="FootnoteTextChar"/>
    <w:uiPriority w:val="99"/>
    <w:semiHidden/>
    <w:unhideWhenUsed/>
    <w:rsid w:val="006B56D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6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6DC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1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A84"/>
  </w:style>
  <w:style w:type="paragraph" w:styleId="Footer">
    <w:name w:val="footer"/>
    <w:basedOn w:val="Normal"/>
    <w:link w:val="FooterChar"/>
    <w:uiPriority w:val="99"/>
    <w:unhideWhenUsed/>
    <w:rsid w:val="00C11A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A84"/>
  </w:style>
  <w:style w:type="paragraph" w:styleId="FootnoteText">
    <w:name w:val="footnote text"/>
    <w:basedOn w:val="Normal"/>
    <w:link w:val="FootnoteTextChar"/>
    <w:uiPriority w:val="99"/>
    <w:semiHidden/>
    <w:unhideWhenUsed/>
    <w:rsid w:val="006B56D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6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6DC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1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cp:lastPrinted>2017-01-19T00:18:00Z</cp:lastPrinted>
  <dcterms:created xsi:type="dcterms:W3CDTF">2016-02-07T02:47:00Z</dcterms:created>
  <dcterms:modified xsi:type="dcterms:W3CDTF">2017-01-19T00:19:00Z</dcterms:modified>
</cp:coreProperties>
</file>