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29" w:rsidRDefault="001D5186" w:rsidP="00CC1529">
      <w:pPr>
        <w:bidi/>
        <w:rPr>
          <w:sz w:val="32"/>
          <w:szCs w:val="32"/>
        </w:rPr>
      </w:pPr>
      <w:r w:rsidRPr="00CC1529">
        <w:rPr>
          <w:sz w:val="36"/>
          <w:szCs w:val="36"/>
          <w:rtl/>
        </w:rPr>
        <w:t>אמר</w:t>
      </w:r>
      <w:r w:rsidR="00CC1529">
        <w:rPr>
          <w:rFonts w:hint="cs"/>
          <w:rtl/>
        </w:rPr>
        <w:t xml:space="preserve"> </w:t>
      </w:r>
      <w:r w:rsidRPr="00CC1529">
        <w:rPr>
          <w:sz w:val="32"/>
          <w:szCs w:val="32"/>
          <w:rtl/>
        </w:rPr>
        <w:t>ליה אנא דבר הצריך לכל נפש קאמינא וצבי צריך לכל נפש</w:t>
      </w:r>
      <w:r w:rsidR="00CC1529">
        <w:rPr>
          <w:rFonts w:hint="cs"/>
          <w:sz w:val="32"/>
          <w:szCs w:val="32"/>
          <w:rtl/>
        </w:rPr>
        <w:t xml:space="preserve"> </w:t>
      </w:r>
      <w:r w:rsidR="00CC1529">
        <w:rPr>
          <w:sz w:val="32"/>
          <w:szCs w:val="32"/>
          <w:rtl/>
        </w:rPr>
        <w:t>–</w:t>
      </w:r>
      <w:r w:rsidR="00CC1529">
        <w:rPr>
          <w:rFonts w:hint="cs"/>
          <w:sz w:val="32"/>
          <w:szCs w:val="32"/>
          <w:rtl/>
        </w:rPr>
        <w:t xml:space="preserve"> 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>He said to him; ‘I said something which is necessary for all people, and a deer is necessary for all people’</w:t>
      </w:r>
    </w:p>
    <w:p w:rsidR="00CC1529" w:rsidRDefault="00CC1529" w:rsidP="00CC1529">
      <w:pPr>
        <w:bidi/>
        <w:rPr>
          <w:b w:val="0"/>
          <w:bCs w:val="0"/>
          <w:sz w:val="24"/>
          <w:szCs w:val="24"/>
          <w:rtl/>
        </w:rPr>
      </w:pPr>
    </w:p>
    <w:p w:rsidR="00CC1529" w:rsidRPr="00CC1529" w:rsidRDefault="00CC1529" w:rsidP="00CC152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C152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C1529" w:rsidRPr="00CC1529" w:rsidRDefault="00CC1529" w:rsidP="00CC152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אשי</w:t>
      </w:r>
      <w:r>
        <w:rPr>
          <w:b w:val="0"/>
          <w:bCs w:val="0"/>
        </w:rPr>
        <w:t xml:space="preserve"> explained to </w:t>
      </w:r>
      <w:r>
        <w:rPr>
          <w:rFonts w:hint="cs"/>
          <w:b w:val="0"/>
          <w:bCs w:val="0"/>
          <w:rtl/>
        </w:rPr>
        <w:t>רב אחא בריה דרבא</w:t>
      </w:r>
      <w:r>
        <w:rPr>
          <w:b w:val="0"/>
          <w:bCs w:val="0"/>
        </w:rPr>
        <w:t>, that (slaughtering) a deer for eating is something in which all people are equal</w:t>
      </w:r>
      <w:r w:rsidR="00116235">
        <w:rPr>
          <w:b w:val="0"/>
          <w:bCs w:val="0"/>
        </w:rPr>
        <w:t>,</w:t>
      </w:r>
      <w:r>
        <w:rPr>
          <w:b w:val="0"/>
          <w:bCs w:val="0"/>
        </w:rPr>
        <w:t xml:space="preserve"> since they all need to eat; however (making a fire for) </w:t>
      </w:r>
      <w:r>
        <w:rPr>
          <w:rFonts w:hint="cs"/>
          <w:b w:val="0"/>
          <w:bCs w:val="0"/>
          <w:rtl/>
        </w:rPr>
        <w:t>מוגמר</w:t>
      </w:r>
      <w:r>
        <w:rPr>
          <w:b w:val="0"/>
          <w:bCs w:val="0"/>
        </w:rPr>
        <w:t xml:space="preserve"> is only for pampered people and is not </w:t>
      </w:r>
      <w:r>
        <w:rPr>
          <w:rFonts w:hint="cs"/>
          <w:b w:val="0"/>
          <w:bCs w:val="0"/>
          <w:rtl/>
        </w:rPr>
        <w:t>צריך לכל נפש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whether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דבר הצריך לכל נפש</w:t>
      </w:r>
      <w:r>
        <w:rPr>
          <w:b w:val="0"/>
          <w:bCs w:val="0"/>
        </w:rPr>
        <w:t>.</w:t>
      </w:r>
    </w:p>
    <w:p w:rsidR="00CC1529" w:rsidRDefault="00CC1529" w:rsidP="00CC152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 xml:space="preserve">וכן ביאה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t xml:space="preserve">And similarly </w:t>
      </w:r>
      <w:r>
        <w:rPr>
          <w:rFonts w:hint="cs"/>
          <w:rtl/>
        </w:rPr>
        <w:t>ביאה</w:t>
      </w:r>
      <w:r>
        <w:t xml:space="preserve"> </w:t>
      </w:r>
      <w:r w:rsidRPr="00CC1529">
        <w:rPr>
          <w:b w:val="0"/>
          <w:bCs w:val="0"/>
          <w:sz w:val="24"/>
          <w:szCs w:val="24"/>
        </w:rPr>
        <w:t xml:space="preserve">is a </w:t>
      </w:r>
      <w:r w:rsidRPr="00CC1529">
        <w:rPr>
          <w:rFonts w:hint="cs"/>
          <w:b w:val="0"/>
          <w:bCs w:val="0"/>
          <w:sz w:val="24"/>
          <w:szCs w:val="24"/>
          <w:rtl/>
        </w:rPr>
        <w:t>דבר הצריך לכל נפש</w:t>
      </w:r>
      <w:r w:rsidRPr="00CC1529">
        <w:rPr>
          <w:b w:val="0"/>
          <w:bCs w:val="0"/>
          <w:sz w:val="24"/>
          <w:szCs w:val="24"/>
        </w:rPr>
        <w:t xml:space="preserve">, therefore we can say </w:t>
      </w:r>
      <w:r w:rsidRPr="00CC1529">
        <w:rPr>
          <w:rFonts w:hint="cs"/>
          <w:b w:val="0"/>
          <w:bCs w:val="0"/>
          <w:sz w:val="24"/>
          <w:szCs w:val="24"/>
          <w:rtl/>
        </w:rPr>
        <w:t>מתוך</w:t>
      </w:r>
      <w:r w:rsidRPr="00CC1529">
        <w:rPr>
          <w:b w:val="0"/>
          <w:bCs w:val="0"/>
          <w:sz w:val="24"/>
          <w:szCs w:val="24"/>
        </w:rPr>
        <w:t xml:space="preserve"> regarding </w:t>
      </w:r>
      <w:r w:rsidRPr="00CC1529">
        <w:rPr>
          <w:rFonts w:hint="cs"/>
          <w:b w:val="0"/>
          <w:bCs w:val="0"/>
          <w:sz w:val="24"/>
          <w:szCs w:val="24"/>
          <w:rtl/>
        </w:rPr>
        <w:t>ביאה</w:t>
      </w:r>
      <w:r w:rsidRPr="00CC1529">
        <w:rPr>
          <w:b w:val="0"/>
          <w:bCs w:val="0"/>
          <w:sz w:val="24"/>
          <w:szCs w:val="24"/>
        </w:rPr>
        <w:t xml:space="preserve">, and consequently it is </w:t>
      </w:r>
      <w:r w:rsidRPr="00CC1529">
        <w:rPr>
          <w:rFonts w:hint="cs"/>
          <w:b w:val="0"/>
          <w:bCs w:val="0"/>
          <w:sz w:val="24"/>
          <w:szCs w:val="24"/>
          <w:rtl/>
        </w:rPr>
        <w:t>מותר לבעול בתחלה ביו"ט</w:t>
      </w:r>
      <w:r w:rsidRPr="00CC1529">
        <w:rPr>
          <w:b w:val="0"/>
          <w:bCs w:val="0"/>
          <w:sz w:val="24"/>
          <w:szCs w:val="24"/>
        </w:rPr>
        <w:t>.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 w:rsidRPr="00CC1529">
        <w:rPr>
          <w:rFonts w:hint="cs"/>
          <w:b w:val="0"/>
          <w:bCs w:val="0"/>
          <w:sz w:val="24"/>
          <w:szCs w:val="24"/>
          <w:rtl/>
        </w:rPr>
        <w:t>תוספות</w:t>
      </w:r>
      <w:r w:rsidRPr="00CC1529">
        <w:rPr>
          <w:b w:val="0"/>
          <w:bCs w:val="0"/>
          <w:sz w:val="24"/>
          <w:szCs w:val="24"/>
        </w:rPr>
        <w:t xml:space="preserve"> asks: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וקשה לר</w:t>
      </w:r>
      <w:r w:rsidR="00CC1529" w:rsidRPr="00CC1529">
        <w:rPr>
          <w:rFonts w:cs="David" w:hint="cs"/>
          <w:rtl/>
        </w:rPr>
        <w:t xml:space="preserve">בינו </w:t>
      </w:r>
      <w:r w:rsidRPr="00CC1529">
        <w:rPr>
          <w:rFonts w:cs="David"/>
          <w:rtl/>
        </w:rPr>
        <w:t>י</w:t>
      </w:r>
      <w:r w:rsidR="00CC1529" w:rsidRPr="00CC1529">
        <w:rPr>
          <w:rFonts w:cs="David" w:hint="cs"/>
          <w:rtl/>
        </w:rPr>
        <w:t>צחק</w:t>
      </w:r>
      <w:r w:rsidRPr="00CC1529">
        <w:rPr>
          <w:rFonts w:cs="David"/>
          <w:rtl/>
        </w:rPr>
        <w:t xml:space="preserve"> דאמר בסוף פ</w:t>
      </w:r>
      <w:r w:rsidR="00CC1529" w:rsidRPr="00CC1529">
        <w:rPr>
          <w:rFonts w:cs="David" w:hint="cs"/>
          <w:rtl/>
        </w:rPr>
        <w:t xml:space="preserve">רק </w:t>
      </w:r>
      <w:r w:rsidRPr="00CC1529">
        <w:rPr>
          <w:rFonts w:cs="David"/>
          <w:rtl/>
        </w:rPr>
        <w:t>ב</w:t>
      </w:r>
      <w:r w:rsidR="00CC1529" w:rsidRPr="00CC1529">
        <w:rPr>
          <w:rFonts w:cs="David" w:hint="cs"/>
          <w:rtl/>
        </w:rPr>
        <w:t>'</w:t>
      </w:r>
      <w:r w:rsidRPr="00CC1529">
        <w:rPr>
          <w:rFonts w:cs="David"/>
          <w:rtl/>
        </w:rPr>
        <w:t xml:space="preserve"> דביצה (דף כב.) מהו לכבות הנר מפני דבר אחר</w:t>
      </w:r>
      <w:r w:rsidR="00CC1529" w:rsidRPr="00CC1529">
        <w:rPr>
          <w:rStyle w:val="FootnoteReference"/>
          <w:rFonts w:cs="David"/>
          <w:rtl/>
        </w:rPr>
        <w:footnoteReference w:id="1"/>
      </w:r>
      <w:r w:rsidRPr="00CC1529">
        <w:rPr>
          <w:rFonts w:cs="David"/>
          <w:rtl/>
        </w:rPr>
        <w:t xml:space="preserve">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r>
        <w:t xml:space="preserve">And the </w:t>
      </w:r>
      <w:r>
        <w:rPr>
          <w:rFonts w:hint="cs"/>
          <w:rtl/>
        </w:rPr>
        <w:t>ר"י</w:t>
      </w:r>
      <w:r>
        <w:t xml:space="preserve"> has a difficulty </w:t>
      </w:r>
      <w:r>
        <w:rPr>
          <w:b w:val="0"/>
          <w:bCs w:val="0"/>
        </w:rPr>
        <w:t xml:space="preserve">with this idea that we say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; </w:t>
      </w:r>
      <w:r>
        <w:t xml:space="preserve">for </w:t>
      </w:r>
      <w:r>
        <w:rPr>
          <w:rFonts w:hint="cs"/>
          <w:b w:val="0"/>
          <w:bCs w:val="0"/>
          <w:rtl/>
        </w:rPr>
        <w:t>אבא בר מרתא</w:t>
      </w:r>
      <w:r>
        <w:rPr>
          <w:b w:val="0"/>
          <w:bCs w:val="0"/>
        </w:rPr>
        <w:t xml:space="preserve"> </w:t>
      </w:r>
      <w:r>
        <w:t xml:space="preserve">in the end of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ביצה</w:t>
      </w:r>
      <w:r>
        <w:t xml:space="preserve">, asked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, </w:t>
      </w:r>
      <w:r>
        <w:t xml:space="preserve">what is </w:t>
      </w:r>
      <w:r>
        <w:rPr>
          <w:b w:val="0"/>
          <w:bCs w:val="0"/>
        </w:rPr>
        <w:t xml:space="preserve">the ruling whether </w:t>
      </w:r>
      <w:r w:rsidRPr="00CC1529">
        <w:rPr>
          <w:b w:val="0"/>
          <w:bCs w:val="0"/>
        </w:rPr>
        <w:t>it is permitted</w:t>
      </w:r>
      <w:r>
        <w:rPr>
          <w:b w:val="0"/>
          <w:bCs w:val="0"/>
        </w:rPr>
        <w:t xml:space="preserve"> </w:t>
      </w:r>
      <w:r>
        <w:t xml:space="preserve">to extinguish a lamp because of </w:t>
      </w:r>
      <w:r>
        <w:rPr>
          <w:rFonts w:hint="cs"/>
          <w:rtl/>
        </w:rPr>
        <w:t>דבר אחר</w:t>
      </w:r>
      <w:r>
        <w:t xml:space="preserve"> -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 xml:space="preserve">ומסיק דאסור הא הכא שרי משום דצריך לכל נפש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concluded that it is prohibited </w:t>
      </w:r>
      <w:r>
        <w:rPr>
          <w:b w:val="0"/>
          <w:bCs w:val="0"/>
        </w:rPr>
        <w:t xml:space="preserve">to extinguish the light; </w:t>
      </w:r>
      <w:r>
        <w:t xml:space="preserve">but here it is permitted </w:t>
      </w:r>
      <w:r>
        <w:rPr>
          <w:b w:val="0"/>
          <w:bCs w:val="0"/>
        </w:rPr>
        <w:t xml:space="preserve">to be </w:t>
      </w:r>
      <w:r>
        <w:rPr>
          <w:rFonts w:hint="cs"/>
          <w:b w:val="0"/>
          <w:bCs w:val="0"/>
          <w:rtl/>
        </w:rPr>
        <w:t>בועל בתחלה ביו"ט</w:t>
      </w:r>
      <w:r>
        <w:rPr>
          <w:b w:val="0"/>
          <w:bCs w:val="0"/>
        </w:rPr>
        <w:t xml:space="preserve"> </w:t>
      </w:r>
      <w:r>
        <w:t xml:space="preserve">since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is something which is </w:t>
      </w:r>
      <w:r>
        <w:rPr>
          <w:rFonts w:hint="cs"/>
          <w:rtl/>
        </w:rPr>
        <w:t>צריך לכל נפש</w:t>
      </w:r>
      <w:r>
        <w:t xml:space="preserve">, </w:t>
      </w:r>
      <w:r w:rsidRPr="00CC1529">
        <w:rPr>
          <w:b w:val="0"/>
          <w:bCs w:val="0"/>
          <w:sz w:val="24"/>
          <w:szCs w:val="24"/>
        </w:rPr>
        <w:t xml:space="preserve">and we say </w:t>
      </w:r>
      <w:r w:rsidRPr="00CC1529">
        <w:rPr>
          <w:rFonts w:hint="cs"/>
          <w:b w:val="0"/>
          <w:bCs w:val="0"/>
          <w:sz w:val="24"/>
          <w:szCs w:val="24"/>
          <w:rtl/>
        </w:rPr>
        <w:t>מתוך</w:t>
      </w:r>
      <w:r w:rsidRPr="00CC1529">
        <w:rPr>
          <w:b w:val="0"/>
          <w:bCs w:val="0"/>
          <w:sz w:val="24"/>
          <w:szCs w:val="24"/>
        </w:rPr>
        <w:t xml:space="preserve">, similarly there we should also say </w:t>
      </w:r>
      <w:r w:rsidRPr="00CC1529">
        <w:rPr>
          <w:rFonts w:hint="cs"/>
          <w:b w:val="0"/>
          <w:bCs w:val="0"/>
          <w:sz w:val="24"/>
          <w:szCs w:val="24"/>
          <w:rtl/>
        </w:rPr>
        <w:t>מתוך שהותרה כיבוי לצורך</w:t>
      </w:r>
      <w:r w:rsidRPr="00CC1529">
        <w:rPr>
          <w:rStyle w:val="FootnoteReference"/>
          <w:b w:val="0"/>
          <w:bCs w:val="0"/>
          <w:sz w:val="24"/>
          <w:szCs w:val="24"/>
          <w:rtl/>
        </w:rPr>
        <w:footnoteReference w:id="2"/>
      </w:r>
      <w:r w:rsidRPr="00CC1529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116235">
        <w:rPr>
          <w:rFonts w:hint="cs"/>
          <w:b w:val="0"/>
          <w:bCs w:val="0"/>
          <w:sz w:val="24"/>
          <w:szCs w:val="24"/>
          <w:rtl/>
        </w:rPr>
        <w:t xml:space="preserve">אכילה </w:t>
      </w:r>
      <w:r w:rsidRPr="00CC1529">
        <w:rPr>
          <w:rFonts w:hint="cs"/>
          <w:b w:val="0"/>
          <w:bCs w:val="0"/>
          <w:sz w:val="24"/>
          <w:szCs w:val="24"/>
          <w:rtl/>
        </w:rPr>
        <w:t>הותרה נמי שלא לצורך</w:t>
      </w:r>
      <w:r w:rsidRPr="00CC1529">
        <w:rPr>
          <w:b w:val="0"/>
          <w:bCs w:val="0"/>
          <w:sz w:val="24"/>
          <w:szCs w:val="24"/>
        </w:rPr>
        <w:t xml:space="preserve">, since </w:t>
      </w:r>
      <w:r w:rsidRPr="00CC1529">
        <w:rPr>
          <w:rFonts w:hint="cs"/>
          <w:b w:val="0"/>
          <w:bCs w:val="0"/>
          <w:sz w:val="24"/>
          <w:szCs w:val="24"/>
          <w:rtl/>
        </w:rPr>
        <w:t>ביאה</w:t>
      </w:r>
      <w:r w:rsidRPr="00CC1529">
        <w:rPr>
          <w:b w:val="0"/>
          <w:bCs w:val="0"/>
          <w:sz w:val="24"/>
          <w:szCs w:val="24"/>
        </w:rPr>
        <w:t xml:space="preserve"> is </w:t>
      </w:r>
      <w:r w:rsidRPr="00CC1529">
        <w:rPr>
          <w:rFonts w:hint="cs"/>
          <w:b w:val="0"/>
          <w:bCs w:val="0"/>
          <w:sz w:val="24"/>
          <w:szCs w:val="24"/>
          <w:rtl/>
        </w:rPr>
        <w:t>צריך לכל נפש</w:t>
      </w:r>
      <w:r w:rsidRPr="00CC1529">
        <w:rPr>
          <w:b w:val="0"/>
          <w:bCs w:val="0"/>
          <w:sz w:val="24"/>
          <w:szCs w:val="24"/>
        </w:rPr>
        <w:t xml:space="preserve"> and it should be permitted!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</w:p>
    <w:p w:rsidR="00CC1529" w:rsidRPr="00CC1529" w:rsidRDefault="00CC1529" w:rsidP="00CC1529">
      <w:pPr>
        <w:rPr>
          <w:rFonts w:cs="David"/>
          <w:b w:val="0"/>
          <w:bCs w:val="0"/>
          <w:sz w:val="24"/>
          <w:szCs w:val="24"/>
        </w:rPr>
      </w:pPr>
      <w:r w:rsidRPr="00CC1529">
        <w:rPr>
          <w:rFonts w:hint="cs"/>
          <w:b w:val="0"/>
          <w:bCs w:val="0"/>
          <w:sz w:val="24"/>
          <w:szCs w:val="24"/>
          <w:rtl/>
        </w:rPr>
        <w:t>תוספות</w:t>
      </w:r>
      <w:r w:rsidRPr="00CC1529">
        <w:rPr>
          <w:b w:val="0"/>
          <w:bCs w:val="0"/>
          <w:sz w:val="24"/>
          <w:szCs w:val="24"/>
        </w:rPr>
        <w:t xml:space="preserve"> answers: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וי</w:t>
      </w:r>
      <w:r w:rsidR="00CC1529" w:rsidRPr="00CC1529">
        <w:rPr>
          <w:rFonts w:cs="David" w:hint="cs"/>
          <w:rtl/>
        </w:rPr>
        <w:t xml:space="preserve">ש </w:t>
      </w:r>
      <w:r w:rsidRPr="00CC1529">
        <w:rPr>
          <w:rFonts w:cs="David"/>
          <w:rtl/>
        </w:rPr>
        <w:t>ל</w:t>
      </w:r>
      <w:r w:rsidR="00CC1529" w:rsidRPr="00CC1529">
        <w:rPr>
          <w:rFonts w:cs="David" w:hint="cs"/>
          <w:rtl/>
        </w:rPr>
        <w:t>ומר</w:t>
      </w:r>
      <w:r w:rsidRPr="00CC1529">
        <w:rPr>
          <w:rFonts w:cs="David"/>
          <w:rtl/>
        </w:rPr>
        <w:t xml:space="preserve"> דהכא דוקא בבעילה ראשונה דמצוה היא</w:t>
      </w:r>
      <w:r w:rsidR="00CC1529" w:rsidRPr="00CC1529">
        <w:rPr>
          <w:rStyle w:val="FootnoteReference"/>
          <w:rFonts w:cs="David"/>
          <w:rtl/>
        </w:rPr>
        <w:footnoteReference w:id="3"/>
      </w:r>
      <w:r w:rsidRPr="00CC1529">
        <w:rPr>
          <w:rFonts w:cs="David"/>
          <w:rtl/>
        </w:rPr>
        <w:t xml:space="preserve"> דהוי צורך מצות היום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t xml:space="preserve">And one can say that only here where it is the first </w:t>
      </w:r>
      <w:r>
        <w:rPr>
          <w:rFonts w:hint="cs"/>
          <w:rtl/>
        </w:rPr>
        <w:t>ביאה</w:t>
      </w:r>
      <w:r>
        <w:t xml:space="preserve">, which is a </w:t>
      </w:r>
      <w:r>
        <w:rPr>
          <w:rFonts w:hint="cs"/>
          <w:rtl/>
        </w:rPr>
        <w:t>מצוה</w:t>
      </w:r>
      <w:r>
        <w:t xml:space="preserve">, so it is </w:t>
      </w:r>
      <w:r>
        <w:rPr>
          <w:rFonts w:hint="cs"/>
          <w:rtl/>
        </w:rPr>
        <w:t>צורך מצוה</w:t>
      </w:r>
      <w:r>
        <w:t xml:space="preserve"> for this day, </w:t>
      </w:r>
      <w:r w:rsidRPr="00CC1529">
        <w:rPr>
          <w:b w:val="0"/>
          <w:bCs w:val="0"/>
          <w:sz w:val="24"/>
          <w:szCs w:val="24"/>
        </w:rPr>
        <w:t xml:space="preserve">that is why we can say </w:t>
      </w:r>
      <w:r w:rsidRPr="00CC1529">
        <w:rPr>
          <w:rFonts w:hint="cs"/>
          <w:b w:val="0"/>
          <w:bCs w:val="0"/>
          <w:sz w:val="24"/>
          <w:szCs w:val="24"/>
          <w:rtl/>
        </w:rPr>
        <w:t>מתוך</w:t>
      </w:r>
      <w:r w:rsidRPr="00CC1529">
        <w:rPr>
          <w:b w:val="0"/>
          <w:bCs w:val="0"/>
          <w:sz w:val="24"/>
          <w:szCs w:val="24"/>
        </w:rPr>
        <w:t xml:space="preserve"> -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אבל שאר בעילות אין כל כך צורך היום</w:t>
      </w:r>
      <w:r w:rsidR="00CC1529">
        <w:rPr>
          <w:rStyle w:val="FootnoteReference"/>
          <w:rFonts w:cs="David"/>
          <w:rtl/>
        </w:rPr>
        <w:footnoteReference w:id="4"/>
      </w:r>
      <w:r w:rsidR="00CC1529">
        <w:rPr>
          <w:rFonts w:cs="David" w:hint="cs"/>
          <w:rtl/>
        </w:rPr>
        <w:t xml:space="preserve"> -</w:t>
      </w:r>
      <w:r w:rsidRPr="00CC1529">
        <w:rPr>
          <w:rFonts w:cs="David"/>
          <w:rtl/>
        </w:rPr>
        <w:t xml:space="preserve"> </w:t>
      </w:r>
    </w:p>
    <w:p w:rsidR="00CC1529" w:rsidRPr="00CC1529" w:rsidRDefault="00CC1529" w:rsidP="00CC1529">
      <w:pPr>
        <w:rPr>
          <w:sz w:val="24"/>
          <w:szCs w:val="24"/>
        </w:rPr>
      </w:pPr>
      <w:r>
        <w:t xml:space="preserve">However the rest of the </w:t>
      </w:r>
      <w:r>
        <w:rPr>
          <w:rFonts w:hint="cs"/>
          <w:rtl/>
        </w:rPr>
        <w:t>בעילות</w:t>
      </w:r>
      <w:r>
        <w:t xml:space="preserve"> </w:t>
      </w:r>
      <w:r>
        <w:rPr>
          <w:b w:val="0"/>
          <w:bCs w:val="0"/>
        </w:rPr>
        <w:t xml:space="preserve">(after the first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) </w:t>
      </w:r>
      <w:r>
        <w:t xml:space="preserve">is not considered that much of a </w:t>
      </w:r>
      <w:r>
        <w:rPr>
          <w:rFonts w:hint="cs"/>
          <w:rtl/>
        </w:rPr>
        <w:t>צורך היום</w:t>
      </w:r>
      <w:r>
        <w:t xml:space="preserve">, </w:t>
      </w:r>
      <w:r w:rsidRPr="00CC1529">
        <w:rPr>
          <w:b w:val="0"/>
          <w:bCs w:val="0"/>
          <w:sz w:val="24"/>
          <w:szCs w:val="24"/>
        </w:rPr>
        <w:t>for he can do it another time</w:t>
      </w:r>
      <w:r w:rsidRPr="00CC1529">
        <w:rPr>
          <w:sz w:val="24"/>
          <w:szCs w:val="24"/>
        </w:rPr>
        <w:t>.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 w:rsidRPr="00CC1529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CC1529">
        <w:rPr>
          <w:b w:val="0"/>
          <w:bCs w:val="0"/>
          <w:sz w:val="24"/>
          <w:szCs w:val="24"/>
        </w:rPr>
        <w:t xml:space="preserve"> offers an alternate answer: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וע</w:t>
      </w:r>
      <w:r w:rsidR="00CC1529" w:rsidRPr="00CC1529">
        <w:rPr>
          <w:rFonts w:cs="David" w:hint="cs"/>
          <w:rtl/>
        </w:rPr>
        <w:t xml:space="preserve">וד יש </w:t>
      </w:r>
      <w:r w:rsidRPr="00CC1529">
        <w:rPr>
          <w:rFonts w:cs="David"/>
          <w:rtl/>
        </w:rPr>
        <w:t>ל</w:t>
      </w:r>
      <w:r w:rsidR="00CC1529" w:rsidRPr="00CC1529">
        <w:rPr>
          <w:rFonts w:cs="David" w:hint="cs"/>
          <w:rtl/>
        </w:rPr>
        <w:t>ומר</w:t>
      </w:r>
      <w:r w:rsidRPr="00CC1529">
        <w:rPr>
          <w:rFonts w:cs="David"/>
          <w:rtl/>
        </w:rPr>
        <w:t xml:space="preserve"> דכיבוי הנר מפני דבר אחר הוי כמו מכשירין</w:t>
      </w:r>
      <w:r w:rsidR="00CC1529" w:rsidRPr="00CC1529">
        <w:rPr>
          <w:rStyle w:val="FootnoteReference"/>
          <w:rFonts w:cs="David"/>
          <w:rtl/>
        </w:rPr>
        <w:footnoteReference w:id="5"/>
      </w:r>
      <w:r w:rsidRPr="00CC1529">
        <w:rPr>
          <w:rFonts w:cs="David"/>
          <w:rtl/>
        </w:rPr>
        <w:t xml:space="preserve"> דאפילו באוכל נפש אסור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t>And furthermore on</w:t>
      </w:r>
      <w:r w:rsidR="00116235">
        <w:t>e</w:t>
      </w:r>
      <w:r>
        <w:t xml:space="preserve"> can say; that extinguishing a candle because of </w:t>
      </w:r>
      <w:r>
        <w:rPr>
          <w:rFonts w:hint="cs"/>
          <w:rtl/>
        </w:rPr>
        <w:t>ד"א</w:t>
      </w:r>
      <w:r>
        <w:t xml:space="preserve">, is like </w:t>
      </w:r>
      <w:r>
        <w:rPr>
          <w:rFonts w:hint="cs"/>
          <w:rtl/>
        </w:rPr>
        <w:t>מכשירין</w:t>
      </w:r>
      <w:r>
        <w:t xml:space="preserve">, which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מכשירין</w:t>
      </w:r>
      <w:r w:rsidR="009D1BFC">
        <w:rPr>
          <w:b w:val="0"/>
          <w:bCs w:val="0"/>
        </w:rPr>
        <w:t xml:space="preserve"> it</w:t>
      </w:r>
      <w:bookmarkStart w:id="0" w:name="_GoBack"/>
      <w:bookmarkEnd w:id="0"/>
      <w:r>
        <w:rPr>
          <w:b w:val="0"/>
          <w:bCs w:val="0"/>
        </w:rPr>
        <w:t xml:space="preserve">) </w:t>
      </w:r>
      <w:r>
        <w:t xml:space="preserve">is forbidden even if it is for </w:t>
      </w:r>
      <w:r>
        <w:rPr>
          <w:rFonts w:hint="cs"/>
          <w:rtl/>
        </w:rPr>
        <w:t>אוכל נפש</w:t>
      </w:r>
      <w:r>
        <w:t xml:space="preserve"> </w:t>
      </w:r>
      <w:r w:rsidRPr="00CC1529">
        <w:rPr>
          <w:b w:val="0"/>
          <w:bCs w:val="0"/>
          <w:sz w:val="24"/>
          <w:szCs w:val="24"/>
        </w:rPr>
        <w:t xml:space="preserve">(and we certainly cannot apply the </w:t>
      </w:r>
      <w:r w:rsidRPr="00CC1529">
        <w:rPr>
          <w:rFonts w:hint="cs"/>
          <w:b w:val="0"/>
          <w:bCs w:val="0"/>
          <w:sz w:val="24"/>
          <w:szCs w:val="24"/>
          <w:rtl/>
        </w:rPr>
        <w:t>מתוך</w:t>
      </w:r>
      <w:r w:rsidRPr="00CC1529">
        <w:rPr>
          <w:b w:val="0"/>
          <w:bCs w:val="0"/>
          <w:sz w:val="24"/>
          <w:szCs w:val="24"/>
        </w:rPr>
        <w:t xml:space="preserve"> ruling to </w:t>
      </w:r>
      <w:r w:rsidRPr="00CC1529">
        <w:rPr>
          <w:rFonts w:hint="cs"/>
          <w:b w:val="0"/>
          <w:bCs w:val="0"/>
          <w:sz w:val="24"/>
          <w:szCs w:val="24"/>
          <w:rtl/>
        </w:rPr>
        <w:t>מכשירין</w:t>
      </w:r>
      <w:r w:rsidRPr="00CC1529">
        <w:rPr>
          <w:b w:val="0"/>
          <w:bCs w:val="0"/>
          <w:sz w:val="24"/>
          <w:szCs w:val="24"/>
        </w:rPr>
        <w:t xml:space="preserve"> –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 w:rsidRPr="00CC1529">
        <w:rPr>
          <w:rFonts w:hint="cs"/>
          <w:b w:val="0"/>
          <w:bCs w:val="0"/>
          <w:sz w:val="24"/>
          <w:szCs w:val="24"/>
          <w:rtl/>
        </w:rPr>
        <w:t>תוספות</w:t>
      </w:r>
      <w:r w:rsidRPr="00CC1529">
        <w:rPr>
          <w:b w:val="0"/>
          <w:bCs w:val="0"/>
          <w:sz w:val="24"/>
          <w:szCs w:val="24"/>
        </w:rPr>
        <w:t xml:space="preserve"> proves his point:</w:t>
      </w:r>
    </w:p>
    <w:p w:rsidR="00CC1529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וכן מוכח</w:t>
      </w:r>
      <w:r w:rsidR="00CC1529">
        <w:rPr>
          <w:rStyle w:val="FootnoteReference"/>
          <w:rFonts w:cs="David"/>
          <w:rtl/>
        </w:rPr>
        <w:footnoteReference w:id="6"/>
      </w:r>
      <w:r w:rsidRPr="00CC1529">
        <w:rPr>
          <w:rFonts w:cs="David"/>
          <w:rtl/>
        </w:rPr>
        <w:t xml:space="preserve"> התם דפריך עלה מהא דתניא דמכבין את הבקעת כדי שלא יתעשן הבית </w:t>
      </w:r>
      <w:r w:rsidR="00CC1529">
        <w:rPr>
          <w:rFonts w:cs="David" w:hint="cs"/>
          <w:rtl/>
        </w:rPr>
        <w:t>-</w:t>
      </w:r>
    </w:p>
    <w:p w:rsidR="00CC1529" w:rsidRPr="00CC1529" w:rsidRDefault="00CC1529" w:rsidP="00CC1529">
      <w:pPr>
        <w:rPr>
          <w:rFonts w:cs="David"/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this concept </w:t>
      </w:r>
      <w:r>
        <w:t xml:space="preserve">is also evident there,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there </w:t>
      </w:r>
      <w:r>
        <w:t xml:space="preserve">challenges </w:t>
      </w:r>
      <w:r>
        <w:rPr>
          <w:b w:val="0"/>
          <w:bCs w:val="0"/>
        </w:rPr>
        <w:t xml:space="preserve">the view of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that the </w:t>
      </w:r>
      <w:r>
        <w:rPr>
          <w:rFonts w:hint="cs"/>
          <w:b w:val="0"/>
          <w:bCs w:val="0"/>
          <w:rtl/>
        </w:rPr>
        <w:t>כיבוי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 xml:space="preserve">, </w:t>
      </w:r>
      <w:r>
        <w:t xml:space="preserve">from the </w:t>
      </w:r>
      <w:r>
        <w:rPr>
          <w:rFonts w:hint="cs"/>
          <w:rtl/>
        </w:rPr>
        <w:t>ברייתא</w:t>
      </w:r>
      <w:r>
        <w:t xml:space="preserve"> which states that we may extinguish a log in order the house should not smoke up, </w:t>
      </w:r>
      <w:r w:rsidRPr="00CC1529">
        <w:rPr>
          <w:b w:val="0"/>
          <w:bCs w:val="0"/>
          <w:sz w:val="24"/>
          <w:szCs w:val="24"/>
        </w:rPr>
        <w:t xml:space="preserve">so why cannot we extinguish the candle for  </w:t>
      </w:r>
      <w:r w:rsidRPr="00CC1529">
        <w:rPr>
          <w:rFonts w:hint="cs"/>
          <w:b w:val="0"/>
          <w:bCs w:val="0"/>
          <w:sz w:val="24"/>
          <w:szCs w:val="24"/>
          <w:rtl/>
        </w:rPr>
        <w:t>ד"א</w:t>
      </w:r>
      <w:r w:rsidRPr="00CC1529">
        <w:rPr>
          <w:b w:val="0"/>
          <w:bCs w:val="0"/>
          <w:sz w:val="24"/>
          <w:szCs w:val="24"/>
        </w:rPr>
        <w:t xml:space="preserve"> -</w:t>
      </w:r>
    </w:p>
    <w:p w:rsidR="001D5186" w:rsidRPr="00CC1529" w:rsidRDefault="001D5186" w:rsidP="00CC1529">
      <w:pPr>
        <w:bidi/>
        <w:rPr>
          <w:rFonts w:cs="David"/>
        </w:rPr>
      </w:pPr>
      <w:r w:rsidRPr="00CC1529">
        <w:rPr>
          <w:rFonts w:cs="David"/>
          <w:rtl/>
        </w:rPr>
        <w:t>ומשני ההיא רבי יהודה היא דשרי מכשירי אוכל נפש</w:t>
      </w:r>
      <w:r w:rsidR="00CC1529" w:rsidRPr="00CC1529">
        <w:rPr>
          <w:rStyle w:val="FootnoteReference"/>
          <w:rFonts w:cs="David"/>
          <w:rtl/>
        </w:rPr>
        <w:footnoteReference w:id="7"/>
      </w:r>
      <w:r w:rsidRPr="00CC1529">
        <w:rPr>
          <w:rFonts w:cs="David"/>
          <w:rtl/>
        </w:rPr>
        <w:t xml:space="preserve"> כי קאמינא לרבנן</w:t>
      </w:r>
      <w:r w:rsidRPr="00CC1529">
        <w:rPr>
          <w:rFonts w:cs="David"/>
        </w:rPr>
        <w:t>: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>answered</w:t>
      </w:r>
      <w:r w:rsidR="009D1BFC">
        <w:t>;</w:t>
      </w:r>
      <w:r>
        <w:t xml:space="preserve"> that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according to </w:t>
      </w:r>
      <w:r>
        <w:rPr>
          <w:rFonts w:hint="cs"/>
          <w:rtl/>
        </w:rPr>
        <w:t>ר"י</w:t>
      </w:r>
      <w:r>
        <w:t xml:space="preserve"> who permits </w:t>
      </w:r>
      <w:r>
        <w:rPr>
          <w:b w:val="0"/>
          <w:bCs w:val="0"/>
        </w:rPr>
        <w:t xml:space="preserve">doing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even if it only </w:t>
      </w:r>
      <w:r>
        <w:rPr>
          <w:rFonts w:hint="cs"/>
          <w:rtl/>
        </w:rPr>
        <w:t>מכשירי אוכל נפש</w:t>
      </w:r>
      <w:r>
        <w:t xml:space="preserve">, however I gave </w:t>
      </w:r>
      <w:r>
        <w:rPr>
          <w:b w:val="0"/>
          <w:bCs w:val="0"/>
        </w:rPr>
        <w:t xml:space="preserve">my </w:t>
      </w:r>
      <w:r w:rsidRPr="00CC1529">
        <w:t>ruling</w:t>
      </w:r>
      <w:r>
        <w:rPr>
          <w:b w:val="0"/>
          <w:bCs w:val="0"/>
        </w:rPr>
        <w:t xml:space="preserve"> prohibiting </w:t>
      </w:r>
      <w:r>
        <w:rPr>
          <w:rFonts w:hint="cs"/>
          <w:b w:val="0"/>
          <w:bCs w:val="0"/>
          <w:rtl/>
        </w:rPr>
        <w:t>כבוי</w:t>
      </w:r>
      <w:r>
        <w:rPr>
          <w:b w:val="0"/>
          <w:bCs w:val="0"/>
        </w:rPr>
        <w:t xml:space="preserve"> </w:t>
      </w:r>
      <w:r>
        <w:t xml:space="preserve">according to the </w:t>
      </w:r>
      <w:r>
        <w:rPr>
          <w:rFonts w:hint="cs"/>
          <w:rtl/>
        </w:rPr>
        <w:t>רבנן</w:t>
      </w:r>
      <w:r>
        <w:t xml:space="preserve"> </w:t>
      </w:r>
      <w:r w:rsidRPr="00CC1529">
        <w:rPr>
          <w:b w:val="0"/>
          <w:bCs w:val="0"/>
          <w:sz w:val="24"/>
          <w:szCs w:val="24"/>
        </w:rPr>
        <w:t xml:space="preserve">who prohibit </w:t>
      </w:r>
      <w:r w:rsidRPr="00CC1529">
        <w:rPr>
          <w:rFonts w:hint="cs"/>
          <w:b w:val="0"/>
          <w:bCs w:val="0"/>
          <w:sz w:val="24"/>
          <w:szCs w:val="24"/>
          <w:rtl/>
        </w:rPr>
        <w:t>מכשירי אוכל נפש</w:t>
      </w:r>
      <w:r w:rsidRPr="00CC1529">
        <w:rPr>
          <w:b w:val="0"/>
          <w:bCs w:val="0"/>
          <w:sz w:val="24"/>
          <w:szCs w:val="24"/>
        </w:rPr>
        <w:t>.</w:t>
      </w:r>
    </w:p>
    <w:p w:rsidR="003D4453" w:rsidRPr="00CC1529" w:rsidRDefault="003D4453" w:rsidP="001D5186">
      <w:pPr>
        <w:bidi/>
        <w:rPr>
          <w:sz w:val="24"/>
          <w:szCs w:val="24"/>
        </w:rPr>
      </w:pPr>
    </w:p>
    <w:p w:rsidR="00CC1529" w:rsidRPr="00CC1529" w:rsidRDefault="00CC1529" w:rsidP="00CC1529">
      <w:pPr>
        <w:rPr>
          <w:rFonts w:ascii="Copperplate Gothic Bold" w:hAnsi="Copperplate Gothic Bold"/>
          <w:b w:val="0"/>
          <w:bCs w:val="0"/>
          <w:u w:val="double"/>
        </w:rPr>
      </w:pPr>
      <w:r w:rsidRPr="00CC152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C1529" w:rsidRDefault="00CC1529" w:rsidP="00CC152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בעילה ראשונה</w:t>
      </w:r>
      <w:r>
        <w:rPr>
          <w:b w:val="0"/>
          <w:bCs w:val="0"/>
        </w:rPr>
        <w:t xml:space="preserve"> (which is a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) is certainly a </w:t>
      </w:r>
      <w:r>
        <w:rPr>
          <w:rFonts w:hint="cs"/>
          <w:b w:val="0"/>
          <w:bCs w:val="0"/>
          <w:rtl/>
        </w:rPr>
        <w:t>צורך מצות היום</w:t>
      </w:r>
      <w:r>
        <w:rPr>
          <w:b w:val="0"/>
          <w:bCs w:val="0"/>
        </w:rPr>
        <w:t xml:space="preserve"> (as opposed to </w:t>
      </w:r>
      <w:r>
        <w:rPr>
          <w:rFonts w:hint="cs"/>
          <w:b w:val="0"/>
          <w:bCs w:val="0"/>
          <w:rtl/>
        </w:rPr>
        <w:t>שאר ביאות</w:t>
      </w:r>
      <w:r>
        <w:rPr>
          <w:b w:val="0"/>
          <w:bCs w:val="0"/>
        </w:rPr>
        <w:t xml:space="preserve">). We do not allow </w:t>
      </w:r>
      <w:r>
        <w:rPr>
          <w:rFonts w:hint="cs"/>
          <w:b w:val="0"/>
          <w:bCs w:val="0"/>
          <w:rtl/>
        </w:rPr>
        <w:t>מלאכות</w:t>
      </w:r>
      <w:r>
        <w:rPr>
          <w:b w:val="0"/>
          <w:bCs w:val="0"/>
        </w:rPr>
        <w:t xml:space="preserve"> which are only </w:t>
      </w:r>
      <w:r>
        <w:rPr>
          <w:rFonts w:hint="cs"/>
          <w:b w:val="0"/>
          <w:bCs w:val="0"/>
          <w:rtl/>
        </w:rPr>
        <w:t>מכשירי אוכל נפש</w:t>
      </w:r>
      <w:r>
        <w:rPr>
          <w:b w:val="0"/>
          <w:bCs w:val="0"/>
        </w:rPr>
        <w:t xml:space="preserve"> (and certainly do not say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by such </w:t>
      </w:r>
      <w:r>
        <w:rPr>
          <w:rFonts w:hint="cs"/>
          <w:b w:val="0"/>
          <w:bCs w:val="0"/>
          <w:rtl/>
        </w:rPr>
        <w:t>מלאכות</w:t>
      </w:r>
      <w:r>
        <w:rPr>
          <w:b w:val="0"/>
          <w:bCs w:val="0"/>
        </w:rPr>
        <w:t xml:space="preserve"> which are </w:t>
      </w:r>
      <w:r>
        <w:rPr>
          <w:rFonts w:hint="cs"/>
          <w:b w:val="0"/>
          <w:bCs w:val="0"/>
          <w:rtl/>
        </w:rPr>
        <w:t>מכשירין</w:t>
      </w:r>
      <w:r>
        <w:rPr>
          <w:b w:val="0"/>
          <w:bCs w:val="0"/>
        </w:rPr>
        <w:t xml:space="preserve">, such as </w:t>
      </w:r>
      <w:r>
        <w:rPr>
          <w:rFonts w:hint="cs"/>
          <w:b w:val="0"/>
          <w:bCs w:val="0"/>
          <w:rtl/>
        </w:rPr>
        <w:t>כבוי הנר</w:t>
      </w:r>
      <w:r>
        <w:rPr>
          <w:b w:val="0"/>
          <w:bCs w:val="0"/>
        </w:rPr>
        <w:t xml:space="preserve"> for </w:t>
      </w:r>
      <w:r>
        <w:rPr>
          <w:rFonts w:hint="cs"/>
          <w:b w:val="0"/>
          <w:bCs w:val="0"/>
          <w:rtl/>
        </w:rPr>
        <w:t>ד"א</w:t>
      </w:r>
      <w:r>
        <w:rPr>
          <w:b w:val="0"/>
          <w:bCs w:val="0"/>
        </w:rPr>
        <w:t>).</w:t>
      </w:r>
    </w:p>
    <w:p w:rsidR="00CC1529" w:rsidRPr="00CC1529" w:rsidRDefault="00CC1529" w:rsidP="00CC1529">
      <w:pPr>
        <w:rPr>
          <w:b w:val="0"/>
          <w:bCs w:val="0"/>
          <w:sz w:val="24"/>
          <w:szCs w:val="24"/>
        </w:rPr>
      </w:pPr>
    </w:p>
    <w:p w:rsidR="00CC1529" w:rsidRPr="00CC1529" w:rsidRDefault="00CC1529" w:rsidP="00CC1529">
      <w:pPr>
        <w:rPr>
          <w:rFonts w:ascii="Copperplate Gothic Bold" w:hAnsi="Copperplate Gothic Bold"/>
          <w:b w:val="0"/>
          <w:bCs w:val="0"/>
          <w:u w:val="double"/>
        </w:rPr>
      </w:pPr>
      <w:r w:rsidRPr="00CC152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C1529" w:rsidRPr="00CC1529" w:rsidRDefault="00CC1529" w:rsidP="00CC152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on his second answer that it is </w:t>
      </w:r>
      <w:r>
        <w:rPr>
          <w:rFonts w:hint="cs"/>
          <w:b w:val="0"/>
          <w:bCs w:val="0"/>
          <w:rtl/>
        </w:rPr>
        <w:t>מוכח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Why therefore is this (merely) the second answer and not the first (and why is the first answer altogether necessary)?</w:t>
      </w:r>
    </w:p>
    <w:sectPr w:rsidR="00CC1529" w:rsidRPr="00CC15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60" w:rsidRDefault="002E1260" w:rsidP="00CC1529">
      <w:pPr>
        <w:spacing w:line="240" w:lineRule="auto"/>
      </w:pPr>
      <w:r>
        <w:separator/>
      </w:r>
    </w:p>
  </w:endnote>
  <w:endnote w:type="continuationSeparator" w:id="0">
    <w:p w:rsidR="002E1260" w:rsidRDefault="002E1260" w:rsidP="00CC1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14870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CC1529" w:rsidRPr="00CC1529" w:rsidRDefault="00CC1529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CC1529">
          <w:rPr>
            <w:b w:val="0"/>
            <w:bCs w:val="0"/>
            <w:sz w:val="20"/>
            <w:szCs w:val="20"/>
          </w:rPr>
          <w:fldChar w:fldCharType="begin"/>
        </w:r>
        <w:r w:rsidRPr="00CC152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C1529">
          <w:rPr>
            <w:b w:val="0"/>
            <w:bCs w:val="0"/>
            <w:sz w:val="20"/>
            <w:szCs w:val="20"/>
          </w:rPr>
          <w:fldChar w:fldCharType="separate"/>
        </w:r>
        <w:r w:rsidR="009D1BFC">
          <w:rPr>
            <w:b w:val="0"/>
            <w:bCs w:val="0"/>
            <w:noProof/>
            <w:sz w:val="20"/>
            <w:szCs w:val="20"/>
          </w:rPr>
          <w:t>2</w:t>
        </w:r>
        <w:r w:rsidRPr="00CC152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CC1529" w:rsidRPr="00CC1529" w:rsidRDefault="00CC152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CC1529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CC1529" w:rsidRDefault="00CC1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60" w:rsidRDefault="002E1260" w:rsidP="00CC1529">
      <w:pPr>
        <w:spacing w:line="240" w:lineRule="auto"/>
      </w:pPr>
      <w:r>
        <w:separator/>
      </w:r>
    </w:p>
  </w:footnote>
  <w:footnote w:type="continuationSeparator" w:id="0">
    <w:p w:rsidR="002E1260" w:rsidRDefault="002E1260" w:rsidP="00CC1529">
      <w:pPr>
        <w:spacing w:line="240" w:lineRule="auto"/>
      </w:pPr>
      <w:r>
        <w:continuationSeparator/>
      </w:r>
    </w:p>
  </w:footnote>
  <w:footnote w:id="1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</w:t>
      </w:r>
      <w:r w:rsidRPr="00CC1529">
        <w:rPr>
          <w:rFonts w:hint="cs"/>
          <w:b w:val="0"/>
          <w:bCs w:val="0"/>
          <w:rtl/>
        </w:rPr>
        <w:t>דבר אחר</w:t>
      </w:r>
      <w:r w:rsidRPr="00CC1529">
        <w:rPr>
          <w:b w:val="0"/>
          <w:bCs w:val="0"/>
        </w:rPr>
        <w:t xml:space="preserve"> is a euphemism for </w:t>
      </w:r>
      <w:r w:rsidRPr="00CC1529">
        <w:rPr>
          <w:rFonts w:hint="cs"/>
          <w:b w:val="0"/>
          <w:bCs w:val="0"/>
          <w:rtl/>
        </w:rPr>
        <w:t>תשמיש המטה</w:t>
      </w:r>
      <w:r w:rsidRPr="00CC1529">
        <w:rPr>
          <w:b w:val="0"/>
          <w:bCs w:val="0"/>
        </w:rPr>
        <w:t xml:space="preserve">. It is forbidden to have </w:t>
      </w:r>
      <w:r w:rsidRPr="00CC1529">
        <w:rPr>
          <w:rFonts w:hint="cs"/>
          <w:b w:val="0"/>
          <w:bCs w:val="0"/>
          <w:rtl/>
        </w:rPr>
        <w:t>תשמיש</w:t>
      </w:r>
      <w:r w:rsidRPr="00CC1529">
        <w:rPr>
          <w:b w:val="0"/>
          <w:bCs w:val="0"/>
        </w:rPr>
        <w:t xml:space="preserve"> when there is light (see </w:t>
      </w:r>
      <w:r w:rsidRPr="00CC1529">
        <w:rPr>
          <w:rFonts w:hint="cs"/>
          <w:b w:val="0"/>
          <w:bCs w:val="0"/>
          <w:rtl/>
        </w:rPr>
        <w:t>נדה יז</w:t>
      </w:r>
      <w:proofErr w:type="gramStart"/>
      <w:r w:rsidRPr="00CC1529">
        <w:rPr>
          <w:rFonts w:hint="cs"/>
          <w:b w:val="0"/>
          <w:bCs w:val="0"/>
          <w:rtl/>
        </w:rPr>
        <w:t>,א</w:t>
      </w:r>
      <w:proofErr w:type="gramEnd"/>
      <w:r w:rsidRPr="00CC1529">
        <w:rPr>
          <w:b w:val="0"/>
          <w:bCs w:val="0"/>
        </w:rPr>
        <w:t xml:space="preserve">); The question was can one extinguish the light on </w:t>
      </w:r>
      <w:r w:rsidRPr="00CC1529">
        <w:rPr>
          <w:rFonts w:hint="cs"/>
          <w:b w:val="0"/>
          <w:bCs w:val="0"/>
          <w:rtl/>
        </w:rPr>
        <w:t>יו"ט</w:t>
      </w:r>
      <w:r w:rsidRPr="00CC1529">
        <w:rPr>
          <w:b w:val="0"/>
          <w:bCs w:val="0"/>
        </w:rPr>
        <w:t xml:space="preserve"> in order to have </w:t>
      </w:r>
      <w:r w:rsidRPr="00CC1529">
        <w:rPr>
          <w:rFonts w:hint="cs"/>
          <w:b w:val="0"/>
          <w:bCs w:val="0"/>
          <w:rtl/>
        </w:rPr>
        <w:t>תה"מ</w:t>
      </w:r>
      <w:r w:rsidRPr="00CC1529">
        <w:rPr>
          <w:b w:val="0"/>
          <w:bCs w:val="0"/>
        </w:rPr>
        <w:t>.</w:t>
      </w:r>
    </w:p>
  </w:footnote>
  <w:footnote w:id="2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</w:t>
      </w:r>
      <w:proofErr w:type="gramStart"/>
      <w:r w:rsidRPr="00CC1529">
        <w:rPr>
          <w:b w:val="0"/>
          <w:bCs w:val="0"/>
        </w:rPr>
        <w:t xml:space="preserve">See </w:t>
      </w:r>
      <w:r w:rsidRPr="00CC1529">
        <w:rPr>
          <w:rFonts w:hint="cs"/>
          <w:b w:val="0"/>
          <w:bCs w:val="0"/>
          <w:rtl/>
        </w:rPr>
        <w:t>בית יעקב</w:t>
      </w:r>
      <w:r w:rsidRPr="00CC1529">
        <w:rPr>
          <w:b w:val="0"/>
          <w:bCs w:val="0"/>
        </w:rPr>
        <w:t xml:space="preserve"> that one is permitted to roast meat on coals even though he is extinguishing (some of) the coals.</w:t>
      </w:r>
      <w:proofErr w:type="gramEnd"/>
    </w:p>
  </w:footnote>
  <w:footnote w:id="3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See </w:t>
      </w:r>
      <w:r w:rsidRPr="00CC1529">
        <w:rPr>
          <w:rFonts w:hint="cs"/>
          <w:b w:val="0"/>
          <w:bCs w:val="0"/>
          <w:rtl/>
        </w:rPr>
        <w:t>תוס' ד</w:t>
      </w:r>
      <w:proofErr w:type="gramStart"/>
      <w:r w:rsidRPr="00CC1529">
        <w:rPr>
          <w:rFonts w:hint="cs"/>
          <w:b w:val="0"/>
          <w:bCs w:val="0"/>
          <w:rtl/>
        </w:rPr>
        <w:t>,א</w:t>
      </w:r>
      <w:proofErr w:type="gramEnd"/>
      <w:r w:rsidRPr="00CC1529">
        <w:rPr>
          <w:rFonts w:hint="cs"/>
          <w:b w:val="0"/>
          <w:bCs w:val="0"/>
          <w:rtl/>
        </w:rPr>
        <w:t xml:space="preserve"> ד"ה בעילת מצוה</w:t>
      </w:r>
      <w:r w:rsidRPr="00CC1529">
        <w:rPr>
          <w:b w:val="0"/>
          <w:bCs w:val="0"/>
        </w:rPr>
        <w:t>.</w:t>
      </w:r>
    </w:p>
  </w:footnote>
  <w:footnote w:id="4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</w:t>
      </w:r>
      <w:r>
        <w:rPr>
          <w:b w:val="0"/>
          <w:bCs w:val="0"/>
        </w:rPr>
        <w:t>S</w:t>
      </w:r>
      <w:r w:rsidRPr="00CC1529">
        <w:rPr>
          <w:b w:val="0"/>
          <w:bCs w:val="0"/>
        </w:rPr>
        <w:t xml:space="preserve">imilar to </w:t>
      </w:r>
      <w:r w:rsidRPr="00CC1529">
        <w:rPr>
          <w:rFonts w:hint="cs"/>
          <w:b w:val="0"/>
          <w:bCs w:val="0"/>
          <w:rtl/>
        </w:rPr>
        <w:t>עולת נדבה</w:t>
      </w:r>
      <w:r>
        <w:rPr>
          <w:b w:val="0"/>
          <w:bCs w:val="0"/>
        </w:rPr>
        <w:t>;</w:t>
      </w:r>
      <w:r w:rsidRPr="00CC1529">
        <w:rPr>
          <w:b w:val="0"/>
          <w:bCs w:val="0"/>
        </w:rPr>
        <w:t xml:space="preserve"> </w:t>
      </w:r>
      <w:r>
        <w:rPr>
          <w:b w:val="0"/>
          <w:bCs w:val="0"/>
        </w:rPr>
        <w:t>s</w:t>
      </w:r>
      <w:r w:rsidRPr="00CC1529">
        <w:rPr>
          <w:b w:val="0"/>
          <w:bCs w:val="0"/>
        </w:rPr>
        <w:t xml:space="preserve">ee </w:t>
      </w:r>
      <w:r w:rsidRPr="00CC1529">
        <w:rPr>
          <w:rFonts w:hint="cs"/>
          <w:b w:val="0"/>
          <w:bCs w:val="0"/>
          <w:rtl/>
        </w:rPr>
        <w:t>תוס' ד"ה מתוך</w:t>
      </w:r>
      <w:r w:rsidRPr="00CC1529">
        <w:rPr>
          <w:b w:val="0"/>
          <w:bCs w:val="0"/>
        </w:rPr>
        <w:t xml:space="preserve"> (TIE footnote # 7)</w:t>
      </w:r>
      <w:r>
        <w:rPr>
          <w:b w:val="0"/>
          <w:bCs w:val="0"/>
        </w:rPr>
        <w:t xml:space="preserve"> that it is permitted </w:t>
      </w:r>
      <w:r w:rsidR="00116235">
        <w:rPr>
          <w:b w:val="0"/>
          <w:bCs w:val="0"/>
        </w:rPr>
        <w:t>only because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שלא יהיה ש</w:t>
      </w:r>
      <w:r w:rsidR="00116235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לחן רבך חסר</w:t>
      </w:r>
      <w:r w:rsidRPr="00CC1529">
        <w:rPr>
          <w:b w:val="0"/>
          <w:bCs w:val="0"/>
        </w:rPr>
        <w:t>.</w:t>
      </w:r>
    </w:p>
  </w:footnote>
  <w:footnote w:id="5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</w:t>
      </w:r>
      <w:r w:rsidRPr="00CC1529">
        <w:rPr>
          <w:rFonts w:hint="cs"/>
          <w:b w:val="0"/>
          <w:bCs w:val="0"/>
          <w:rtl/>
        </w:rPr>
        <w:t>מכשירין</w:t>
      </w:r>
      <w:r w:rsidRPr="00CC1529">
        <w:rPr>
          <w:b w:val="0"/>
          <w:bCs w:val="0"/>
        </w:rPr>
        <w:t xml:space="preserve"> or </w:t>
      </w:r>
      <w:r>
        <w:rPr>
          <w:b w:val="0"/>
          <w:bCs w:val="0"/>
        </w:rPr>
        <w:t>‘</w:t>
      </w:r>
      <w:r w:rsidRPr="00CC1529">
        <w:rPr>
          <w:b w:val="0"/>
          <w:bCs w:val="0"/>
        </w:rPr>
        <w:t>preparatory</w:t>
      </w:r>
      <w:r>
        <w:rPr>
          <w:b w:val="0"/>
          <w:bCs w:val="0"/>
        </w:rPr>
        <w:t>’</w:t>
      </w:r>
      <w:r w:rsidRPr="00CC1529">
        <w:rPr>
          <w:b w:val="0"/>
          <w:bCs w:val="0"/>
        </w:rPr>
        <w:t xml:space="preserve">, refers to actions which do not actually provide us with the </w:t>
      </w:r>
      <w:r w:rsidRPr="00CC1529">
        <w:rPr>
          <w:rFonts w:hint="cs"/>
          <w:b w:val="0"/>
          <w:bCs w:val="0"/>
          <w:rtl/>
        </w:rPr>
        <w:t>אוכל נפש</w:t>
      </w:r>
      <w:r w:rsidRPr="00CC1529">
        <w:rPr>
          <w:b w:val="0"/>
          <w:bCs w:val="0"/>
        </w:rPr>
        <w:t xml:space="preserve"> (such as making a fire or cooking), but rather enable us to prepare the food for eating such as building an oven, chopping wood, etc. These </w:t>
      </w:r>
      <w:r w:rsidRPr="00CC1529">
        <w:rPr>
          <w:rFonts w:hint="cs"/>
          <w:b w:val="0"/>
          <w:bCs w:val="0"/>
          <w:rtl/>
        </w:rPr>
        <w:t>מלאכות</w:t>
      </w:r>
      <w:r w:rsidRPr="00CC1529">
        <w:rPr>
          <w:b w:val="0"/>
          <w:bCs w:val="0"/>
        </w:rPr>
        <w:t xml:space="preserve"> are forbidden on </w:t>
      </w:r>
      <w:r w:rsidRPr="00CC1529">
        <w:rPr>
          <w:rFonts w:hint="cs"/>
          <w:b w:val="0"/>
          <w:bCs w:val="0"/>
          <w:rtl/>
        </w:rPr>
        <w:t>יו"ט</w:t>
      </w:r>
      <w:r w:rsidRPr="00CC1529">
        <w:rPr>
          <w:b w:val="0"/>
          <w:bCs w:val="0"/>
        </w:rPr>
        <w:t xml:space="preserve"> even for </w:t>
      </w:r>
      <w:r w:rsidRPr="00CC1529">
        <w:rPr>
          <w:rFonts w:hint="cs"/>
          <w:b w:val="0"/>
          <w:bCs w:val="0"/>
          <w:rtl/>
        </w:rPr>
        <w:t>אוכל נפש</w:t>
      </w:r>
      <w:r w:rsidRPr="00CC1529">
        <w:rPr>
          <w:b w:val="0"/>
          <w:bCs w:val="0"/>
        </w:rPr>
        <w:t>.</w:t>
      </w:r>
      <w:r>
        <w:rPr>
          <w:b w:val="0"/>
          <w:bCs w:val="0"/>
        </w:rPr>
        <w:t xml:space="preserve"> [See (however) </w:t>
      </w:r>
      <w:r>
        <w:rPr>
          <w:rFonts w:hint="cs"/>
          <w:b w:val="0"/>
          <w:bCs w:val="0"/>
          <w:rtl/>
        </w:rPr>
        <w:t>תוס' ביצה כב</w:t>
      </w:r>
      <w:proofErr w:type="gramStart"/>
      <w:r>
        <w:rPr>
          <w:rFonts w:hint="cs"/>
          <w:b w:val="0"/>
          <w:bCs w:val="0"/>
          <w:rtl/>
        </w:rPr>
        <w:t>,א</w:t>
      </w:r>
      <w:proofErr w:type="gramEnd"/>
      <w:r>
        <w:rPr>
          <w:rFonts w:hint="cs"/>
          <w:b w:val="0"/>
          <w:bCs w:val="0"/>
          <w:rtl/>
        </w:rPr>
        <w:t xml:space="preserve"> ד"ה ההוא</w:t>
      </w:r>
      <w:r>
        <w:rPr>
          <w:b w:val="0"/>
          <w:bCs w:val="0"/>
        </w:rPr>
        <w:t xml:space="preserve">, </w:t>
      </w:r>
      <w:r>
        <w:rPr>
          <w:rFonts w:hint="cs"/>
          <w:b w:val="0"/>
          <w:bCs w:val="0"/>
          <w:rtl/>
        </w:rPr>
        <w:t>עיי"ש</w:t>
      </w:r>
      <w:r>
        <w:rPr>
          <w:b w:val="0"/>
          <w:bCs w:val="0"/>
        </w:rPr>
        <w:t>.]</w:t>
      </w:r>
      <w:r w:rsidRPr="00CC1529">
        <w:rPr>
          <w:b w:val="0"/>
          <w:bCs w:val="0"/>
        </w:rPr>
        <w:t xml:space="preserve"> Similarly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of </w:t>
      </w:r>
      <w:r w:rsidRPr="00CC1529">
        <w:rPr>
          <w:b w:val="0"/>
          <w:bCs w:val="0"/>
        </w:rPr>
        <w:t xml:space="preserve">extinguishing the </w:t>
      </w:r>
      <w:r>
        <w:rPr>
          <w:b w:val="0"/>
          <w:bCs w:val="0"/>
        </w:rPr>
        <w:t>lamp</w:t>
      </w:r>
      <w:r w:rsidRPr="00CC1529">
        <w:rPr>
          <w:b w:val="0"/>
          <w:bCs w:val="0"/>
        </w:rPr>
        <w:t xml:space="preserve"> merely enables one to do the </w:t>
      </w:r>
      <w:r w:rsidRPr="00CC1529">
        <w:rPr>
          <w:rFonts w:hint="cs"/>
          <w:b w:val="0"/>
          <w:bCs w:val="0"/>
          <w:rtl/>
        </w:rPr>
        <w:t>מצוה</w:t>
      </w:r>
      <w:r w:rsidRPr="00CC1529">
        <w:rPr>
          <w:b w:val="0"/>
          <w:bCs w:val="0"/>
        </w:rPr>
        <w:t xml:space="preserve"> of </w:t>
      </w:r>
      <w:r w:rsidRPr="00CC1529"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and is considered </w:t>
      </w:r>
      <w:r>
        <w:rPr>
          <w:rFonts w:hint="cs"/>
          <w:b w:val="0"/>
          <w:bCs w:val="0"/>
          <w:rtl/>
        </w:rPr>
        <w:t>מכשירין</w:t>
      </w:r>
      <w:r w:rsidRPr="00CC1529">
        <w:rPr>
          <w:b w:val="0"/>
          <w:bCs w:val="0"/>
        </w:rPr>
        <w:t xml:space="preserve">; as opposed to the </w:t>
      </w:r>
      <w:r w:rsidRPr="00CC1529">
        <w:rPr>
          <w:rFonts w:hint="cs"/>
          <w:b w:val="0"/>
          <w:bCs w:val="0"/>
          <w:rtl/>
        </w:rPr>
        <w:t>ביאה ראשונה</w:t>
      </w:r>
      <w:r w:rsidRPr="00CC1529">
        <w:rPr>
          <w:b w:val="0"/>
          <w:bCs w:val="0"/>
        </w:rP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מלאכה</w:t>
      </w:r>
      <w:r>
        <w:rPr>
          <w:b w:val="0"/>
          <w:bCs w:val="0"/>
        </w:rPr>
        <w:t xml:space="preserve"> of </w:t>
      </w:r>
      <w:r w:rsidRPr="00CC1529">
        <w:rPr>
          <w:b w:val="0"/>
          <w:bCs w:val="0"/>
        </w:rPr>
        <w:t xml:space="preserve">making the </w:t>
      </w:r>
      <w:r w:rsidRPr="00CC1529">
        <w:rPr>
          <w:rFonts w:hint="cs"/>
          <w:b w:val="0"/>
          <w:bCs w:val="0"/>
          <w:rtl/>
        </w:rPr>
        <w:t>חבורה</w:t>
      </w:r>
      <w:r w:rsidRPr="00CC1529">
        <w:rPr>
          <w:b w:val="0"/>
          <w:bCs w:val="0"/>
        </w:rPr>
        <w:t xml:space="preserve"> is an integral part of the </w:t>
      </w:r>
      <w:r w:rsidRPr="00CC1529">
        <w:rPr>
          <w:rFonts w:hint="cs"/>
          <w:b w:val="0"/>
          <w:bCs w:val="0"/>
          <w:rtl/>
        </w:rPr>
        <w:t>ביאה</w:t>
      </w:r>
      <w:r w:rsidRPr="00CC1529">
        <w:rPr>
          <w:b w:val="0"/>
          <w:bCs w:val="0"/>
        </w:rPr>
        <w:t xml:space="preserve"> (and not merely a </w:t>
      </w:r>
      <w:r w:rsidRPr="00CC1529">
        <w:rPr>
          <w:rFonts w:hint="cs"/>
          <w:b w:val="0"/>
          <w:bCs w:val="0"/>
          <w:rtl/>
        </w:rPr>
        <w:t>מכשיר</w:t>
      </w:r>
      <w:r w:rsidRPr="00CC1529">
        <w:rPr>
          <w:b w:val="0"/>
          <w:bCs w:val="0"/>
        </w:rPr>
        <w:t>).</w:t>
      </w:r>
    </w:p>
  </w:footnote>
  <w:footnote w:id="6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</w:t>
      </w:r>
      <w:proofErr w:type="gramStart"/>
      <w:r w:rsidRPr="00CC1529">
        <w:rPr>
          <w:b w:val="0"/>
          <w:bCs w:val="0"/>
        </w:rPr>
        <w:t>See ‘Thinking it over’.</w:t>
      </w:r>
      <w:proofErr w:type="gramEnd"/>
    </w:p>
  </w:footnote>
  <w:footnote w:id="7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Therefore according to </w:t>
      </w:r>
      <w:r w:rsidRPr="00CC1529">
        <w:rPr>
          <w:rFonts w:hint="cs"/>
          <w:b w:val="0"/>
          <w:bCs w:val="0"/>
          <w:rtl/>
        </w:rPr>
        <w:t>ר"י</w:t>
      </w:r>
      <w:r w:rsidRPr="00CC1529">
        <w:rPr>
          <w:b w:val="0"/>
          <w:bCs w:val="0"/>
        </w:rPr>
        <w:t xml:space="preserve"> one may extinguish the </w:t>
      </w:r>
      <w:r w:rsidRPr="00CC1529">
        <w:rPr>
          <w:rFonts w:hint="cs"/>
          <w:b w:val="0"/>
          <w:bCs w:val="0"/>
          <w:rtl/>
        </w:rPr>
        <w:t>בקעת</w:t>
      </w:r>
      <w:r w:rsidRPr="00CC1529">
        <w:rPr>
          <w:b w:val="0"/>
          <w:bCs w:val="0"/>
        </w:rPr>
        <w:t xml:space="preserve"> so he will be able to be in the house and eat; however this is considered only </w:t>
      </w:r>
      <w:r w:rsidRPr="00CC1529">
        <w:rPr>
          <w:rFonts w:hint="cs"/>
          <w:b w:val="0"/>
          <w:bCs w:val="0"/>
          <w:rtl/>
        </w:rPr>
        <w:t>מכשירי אוכל נפש</w:t>
      </w:r>
      <w:r w:rsidRPr="00CC1529">
        <w:rPr>
          <w:b w:val="0"/>
          <w:bCs w:val="0"/>
        </w:rPr>
        <w:t xml:space="preserve">, which the </w:t>
      </w:r>
      <w:r w:rsidRPr="00CC1529">
        <w:rPr>
          <w:rFonts w:hint="cs"/>
          <w:b w:val="0"/>
          <w:bCs w:val="0"/>
          <w:rtl/>
        </w:rPr>
        <w:t>רבנן</w:t>
      </w:r>
      <w:r w:rsidRPr="00CC1529">
        <w:rPr>
          <w:b w:val="0"/>
          <w:bCs w:val="0"/>
        </w:rPr>
        <w:t xml:space="preserve"> prohibit if it requires a </w:t>
      </w:r>
      <w:r w:rsidRPr="00CC1529">
        <w:rPr>
          <w:rFonts w:hint="cs"/>
          <w:b w:val="0"/>
          <w:bCs w:val="0"/>
          <w:rtl/>
        </w:rPr>
        <w:t>מלאכה</w:t>
      </w:r>
      <w:r w:rsidRPr="00CC1529">
        <w:rPr>
          <w:b w:val="0"/>
          <w:bCs w:val="0"/>
        </w:rPr>
        <w:t>.</w:t>
      </w:r>
      <w:r>
        <w:rPr>
          <w:b w:val="0"/>
          <w:bCs w:val="0"/>
        </w:rPr>
        <w:t xml:space="preserve"> [The words </w:t>
      </w:r>
      <w:r>
        <w:rPr>
          <w:rFonts w:hint="cs"/>
          <w:b w:val="0"/>
          <w:bCs w:val="0"/>
          <w:rtl/>
        </w:rPr>
        <w:t>'דשרי מכשירי אוכל נפש'</w:t>
      </w:r>
      <w:r>
        <w:rPr>
          <w:b w:val="0"/>
          <w:bCs w:val="0"/>
        </w:rPr>
        <w:t xml:space="preserve"> do not appear 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, it is the explanation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.] </w:t>
      </w:r>
    </w:p>
  </w:footnote>
  <w:footnote w:id="8">
    <w:p w:rsidR="00CC1529" w:rsidRPr="00CC1529" w:rsidRDefault="00CC1529" w:rsidP="00CC1529">
      <w:pPr>
        <w:pStyle w:val="FootnoteText"/>
        <w:spacing w:line="264" w:lineRule="auto"/>
        <w:rPr>
          <w:b w:val="0"/>
          <w:bCs w:val="0"/>
        </w:rPr>
      </w:pPr>
      <w:r w:rsidRPr="00CC1529">
        <w:rPr>
          <w:rStyle w:val="FootnoteReference"/>
          <w:b w:val="0"/>
          <w:bCs w:val="0"/>
        </w:rPr>
        <w:footnoteRef/>
      </w:r>
      <w:r w:rsidRPr="00CC1529">
        <w:rPr>
          <w:b w:val="0"/>
          <w:bCs w:val="0"/>
        </w:rPr>
        <w:t xml:space="preserve"> See footnote #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529" w:rsidRPr="00CC1529" w:rsidRDefault="00CC1529" w:rsidP="00CC152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ז,א תוס' ד"ה 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86"/>
    <w:rsid w:val="00116235"/>
    <w:rsid w:val="001D5186"/>
    <w:rsid w:val="002E1260"/>
    <w:rsid w:val="003D4453"/>
    <w:rsid w:val="005C7DCA"/>
    <w:rsid w:val="009D1BFC"/>
    <w:rsid w:val="00CC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29"/>
  </w:style>
  <w:style w:type="paragraph" w:styleId="Footer">
    <w:name w:val="footer"/>
    <w:basedOn w:val="Normal"/>
    <w:link w:val="FooterChar"/>
    <w:uiPriority w:val="99"/>
    <w:unhideWhenUsed/>
    <w:rsid w:val="00CC15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29"/>
  </w:style>
  <w:style w:type="character" w:styleId="CommentReference">
    <w:name w:val="annotation reference"/>
    <w:basedOn w:val="DefaultParagraphFont"/>
    <w:uiPriority w:val="99"/>
    <w:semiHidden/>
    <w:unhideWhenUsed/>
    <w:rsid w:val="00CC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52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52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152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5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15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29"/>
  </w:style>
  <w:style w:type="paragraph" w:styleId="Footer">
    <w:name w:val="footer"/>
    <w:basedOn w:val="Normal"/>
    <w:link w:val="FooterChar"/>
    <w:uiPriority w:val="99"/>
    <w:unhideWhenUsed/>
    <w:rsid w:val="00CC15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29"/>
  </w:style>
  <w:style w:type="character" w:styleId="CommentReference">
    <w:name w:val="annotation reference"/>
    <w:basedOn w:val="DefaultParagraphFont"/>
    <w:uiPriority w:val="99"/>
    <w:semiHidden/>
    <w:unhideWhenUsed/>
    <w:rsid w:val="00CC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52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52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152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5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15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2016-03-07T01:21:00Z</dcterms:created>
  <dcterms:modified xsi:type="dcterms:W3CDTF">2016-05-10T01:37:00Z</dcterms:modified>
</cp:coreProperties>
</file>