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A1" w:rsidRPr="009B4A7B" w:rsidRDefault="00A237DB" w:rsidP="00AD74A1">
      <w:pPr>
        <w:bidi/>
        <w:rPr>
          <w:sz w:val="24"/>
          <w:szCs w:val="24"/>
        </w:rPr>
      </w:pPr>
      <w:r w:rsidRPr="00AD74A1">
        <w:rPr>
          <w:b/>
          <w:bCs/>
          <w:sz w:val="36"/>
          <w:szCs w:val="36"/>
          <w:rtl/>
        </w:rPr>
        <w:t>שנאמר</w:t>
      </w:r>
      <w:r w:rsidR="001E23BE">
        <w:rPr>
          <w:rStyle w:val="FootnoteReference"/>
          <w:b/>
          <w:bCs/>
          <w:sz w:val="36"/>
          <w:szCs w:val="36"/>
          <w:rtl/>
        </w:rPr>
        <w:footnoteReference w:id="1"/>
      </w:r>
      <w:r w:rsidR="00AD74A1" w:rsidRPr="00AD74A1">
        <w:rPr>
          <w:rFonts w:hint="cs"/>
          <w:b/>
          <w:bCs/>
          <w:rtl/>
        </w:rPr>
        <w:t xml:space="preserve"> </w:t>
      </w:r>
      <w:r w:rsidRPr="00AD74A1">
        <w:rPr>
          <w:b/>
          <w:bCs/>
          <w:sz w:val="32"/>
          <w:szCs w:val="32"/>
          <w:rtl/>
        </w:rPr>
        <w:t>ויקח בועז</w:t>
      </w:r>
      <w:r w:rsidR="001E23BE">
        <w:rPr>
          <w:rStyle w:val="FootnoteReference"/>
          <w:b/>
          <w:bCs/>
          <w:sz w:val="32"/>
          <w:szCs w:val="32"/>
          <w:rtl/>
        </w:rPr>
        <w:footnoteReference w:id="2"/>
      </w:r>
      <w:r w:rsidRPr="00AD74A1">
        <w:rPr>
          <w:b/>
          <w:bCs/>
          <w:sz w:val="32"/>
          <w:szCs w:val="32"/>
          <w:rtl/>
        </w:rPr>
        <w:t xml:space="preserve"> עשרה אנשים</w:t>
      </w:r>
      <w:r w:rsidR="00AD74A1">
        <w:rPr>
          <w:rFonts w:hint="cs"/>
          <w:b/>
          <w:bCs/>
          <w:sz w:val="32"/>
          <w:szCs w:val="32"/>
          <w:rtl/>
        </w:rPr>
        <w:t xml:space="preserve"> </w:t>
      </w:r>
      <w:r w:rsidR="00AD74A1">
        <w:rPr>
          <w:b/>
          <w:bCs/>
          <w:sz w:val="32"/>
          <w:szCs w:val="32"/>
          <w:rtl/>
        </w:rPr>
        <w:t>–</w:t>
      </w:r>
      <w:r w:rsidR="00AD74A1">
        <w:rPr>
          <w:rFonts w:hint="cs"/>
          <w:b/>
          <w:bCs/>
          <w:sz w:val="32"/>
          <w:szCs w:val="32"/>
          <w:rtl/>
        </w:rPr>
        <w:t xml:space="preserve"> </w:t>
      </w:r>
      <w:r w:rsidR="00AD74A1">
        <w:rPr>
          <w:b/>
          <w:bCs/>
          <w:sz w:val="32"/>
          <w:szCs w:val="32"/>
        </w:rPr>
        <w:t xml:space="preserve">As it states; and </w:t>
      </w:r>
      <w:r w:rsidR="00AD74A1">
        <w:rPr>
          <w:b/>
          <w:bCs/>
          <w:i/>
          <w:iCs/>
          <w:sz w:val="32"/>
          <w:szCs w:val="32"/>
        </w:rPr>
        <w:t>Boaz</w:t>
      </w:r>
      <w:r w:rsidR="00AD74A1">
        <w:rPr>
          <w:b/>
          <w:bCs/>
          <w:sz w:val="32"/>
          <w:szCs w:val="32"/>
        </w:rPr>
        <w:t xml:space="preserve"> took ten people  </w:t>
      </w:r>
      <w:r w:rsidR="00AD74A1">
        <w:rPr>
          <w:b/>
          <w:bCs/>
          <w:sz w:val="16"/>
          <w:szCs w:val="16"/>
        </w:rPr>
        <w:t xml:space="preserve">  </w:t>
      </w:r>
    </w:p>
    <w:p w:rsidR="00AD74A1" w:rsidRPr="00AD74A1" w:rsidRDefault="00AD74A1" w:rsidP="00AD74A1">
      <w:pPr>
        <w:rPr>
          <w:rFonts w:ascii="Copperplate Gothic Bold" w:hAnsi="Copperplate Gothic Bold"/>
          <w:u w:val="double"/>
          <w:rtl/>
        </w:rPr>
      </w:pPr>
      <w:r w:rsidRPr="00AD74A1">
        <w:rPr>
          <w:rFonts w:ascii="Copperplate Gothic Bold" w:hAnsi="Copperplate Gothic Bold"/>
          <w:u w:val="double"/>
        </w:rPr>
        <w:t>Overview</w:t>
      </w:r>
    </w:p>
    <w:p w:rsidR="00AD74A1" w:rsidRPr="00AD74A1" w:rsidRDefault="00505540" w:rsidP="00AD74A1">
      <w:r>
        <w:t xml:space="preserve">We derive that </w:t>
      </w:r>
      <w:r>
        <w:rPr>
          <w:rFonts w:hint="cs"/>
          <w:rtl/>
        </w:rPr>
        <w:t>ברכת חתנים</w:t>
      </w:r>
      <w:r>
        <w:t xml:space="preserve"> is made in the presence of ten people from the </w:t>
      </w:r>
      <w:r>
        <w:rPr>
          <w:rFonts w:hint="cs"/>
          <w:rtl/>
        </w:rPr>
        <w:t>פסוק</w:t>
      </w:r>
      <w:r>
        <w:t xml:space="preserve"> of </w:t>
      </w:r>
      <w:r>
        <w:rPr>
          <w:rFonts w:hint="cs"/>
          <w:rtl/>
        </w:rPr>
        <w:t>ויקח בועז וגו'</w:t>
      </w:r>
      <w:r>
        <w:t xml:space="preserve">. Our </w:t>
      </w:r>
      <w:r>
        <w:rPr>
          <w:rFonts w:hint="cs"/>
          <w:rtl/>
        </w:rPr>
        <w:t>תוספות</w:t>
      </w:r>
      <w:r>
        <w:t xml:space="preserve"> reconciles this with another source which derives this rule from elsewhere. </w:t>
      </w:r>
    </w:p>
    <w:p w:rsidR="00AD74A1" w:rsidRDefault="00276DD2" w:rsidP="00276DD2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----------------------------</w:t>
      </w:r>
    </w:p>
    <w:p w:rsidR="00AD74A1" w:rsidRDefault="00505540" w:rsidP="0050554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תוספות</w:t>
      </w:r>
      <w:r>
        <w:rPr>
          <w:sz w:val="24"/>
          <w:szCs w:val="24"/>
        </w:rPr>
        <w:t xml:space="preserve"> anticipates a difficulty:</w:t>
      </w:r>
    </w:p>
    <w:p w:rsidR="00BA1C83" w:rsidRPr="00276DD2" w:rsidRDefault="00A237DB" w:rsidP="00276DD2">
      <w:pPr>
        <w:bidi/>
        <w:rPr>
          <w:rFonts w:cs="David"/>
          <w:b/>
          <w:bCs/>
        </w:rPr>
      </w:pPr>
      <w:r w:rsidRPr="00276DD2">
        <w:rPr>
          <w:rFonts w:cs="David"/>
          <w:b/>
          <w:bCs/>
          <w:rtl/>
        </w:rPr>
        <w:t>ובמסכת כלה</w:t>
      </w:r>
      <w:r w:rsidR="00AA1168" w:rsidRPr="00276DD2">
        <w:rPr>
          <w:rStyle w:val="FootnoteReference"/>
          <w:rFonts w:cs="David"/>
          <w:b/>
          <w:bCs/>
          <w:rtl/>
        </w:rPr>
        <w:footnoteReference w:id="3"/>
      </w:r>
      <w:r w:rsidRPr="00276DD2">
        <w:rPr>
          <w:rFonts w:cs="David"/>
          <w:b/>
          <w:bCs/>
          <w:rtl/>
        </w:rPr>
        <w:t xml:space="preserve"> דמייתי קרא דויברכו את רבקה </w:t>
      </w:r>
      <w:r w:rsidRPr="00276DD2">
        <w:rPr>
          <w:rFonts w:cs="David"/>
          <w:b/>
          <w:bCs/>
          <w:sz w:val="20"/>
          <w:szCs w:val="20"/>
          <w:rtl/>
        </w:rPr>
        <w:t>(בראשית כד</w:t>
      </w:r>
      <w:r w:rsidR="00BA1C83" w:rsidRPr="00276DD2">
        <w:rPr>
          <w:rStyle w:val="FootnoteReference"/>
          <w:rFonts w:cs="David"/>
          <w:b/>
          <w:bCs/>
          <w:sz w:val="20"/>
          <w:szCs w:val="20"/>
          <w:rtl/>
        </w:rPr>
        <w:footnoteReference w:id="4"/>
      </w:r>
      <w:r w:rsidRPr="00276DD2">
        <w:rPr>
          <w:rFonts w:cs="David"/>
          <w:b/>
          <w:bCs/>
          <w:sz w:val="20"/>
          <w:szCs w:val="20"/>
          <w:rtl/>
        </w:rPr>
        <w:t xml:space="preserve">) </w:t>
      </w:r>
      <w:r w:rsidR="00276DD2">
        <w:rPr>
          <w:rFonts w:cs="David" w:hint="cs"/>
          <w:b/>
          <w:bCs/>
          <w:rtl/>
        </w:rPr>
        <w:t>-</w:t>
      </w:r>
    </w:p>
    <w:p w:rsidR="00505540" w:rsidRPr="00276DD2" w:rsidRDefault="00505540" w:rsidP="00505540">
      <w:pPr>
        <w:rPr>
          <w:sz w:val="24"/>
          <w:szCs w:val="24"/>
        </w:rPr>
      </w:pPr>
      <w:r>
        <w:rPr>
          <w:b/>
          <w:bCs/>
        </w:rPr>
        <w:t xml:space="preserve">And in </w:t>
      </w:r>
      <w:r>
        <w:rPr>
          <w:rFonts w:hint="cs"/>
          <w:b/>
          <w:bCs/>
          <w:rtl/>
        </w:rPr>
        <w:t>מסכת כלה</w:t>
      </w:r>
      <w:r>
        <w:rPr>
          <w:b/>
          <w:bCs/>
        </w:rPr>
        <w:t xml:space="preserve"> where he cites </w:t>
      </w:r>
      <w:r>
        <w:t xml:space="preserve">the </w:t>
      </w:r>
      <w:r>
        <w:rPr>
          <w:rFonts w:hint="cs"/>
          <w:b/>
          <w:bCs/>
          <w:rtl/>
        </w:rPr>
        <w:t>פסוק</w:t>
      </w:r>
      <w:r>
        <w:rPr>
          <w:b/>
          <w:bCs/>
        </w:rPr>
        <w:t xml:space="preserve">; ‘and they blessed </w:t>
      </w:r>
      <w:r>
        <w:rPr>
          <w:rFonts w:hint="cs"/>
          <w:b/>
          <w:bCs/>
          <w:rtl/>
        </w:rPr>
        <w:t>רבקה</w:t>
      </w:r>
      <w:r>
        <w:rPr>
          <w:b/>
          <w:bCs/>
        </w:rPr>
        <w:t xml:space="preserve">’, </w:t>
      </w:r>
      <w:r w:rsidRPr="00276DD2">
        <w:rPr>
          <w:sz w:val="24"/>
          <w:szCs w:val="24"/>
        </w:rPr>
        <w:t xml:space="preserve">as a source for </w:t>
      </w:r>
      <w:r w:rsidRPr="00276DD2">
        <w:rPr>
          <w:rFonts w:hint="cs"/>
          <w:sz w:val="24"/>
          <w:szCs w:val="24"/>
          <w:rtl/>
        </w:rPr>
        <w:t>ברכת חתנים בעשרה</w:t>
      </w:r>
      <w:r w:rsidRPr="00276DD2">
        <w:rPr>
          <w:sz w:val="24"/>
          <w:szCs w:val="24"/>
        </w:rPr>
        <w:t xml:space="preserve"> (and does not derive it from </w:t>
      </w:r>
      <w:r w:rsidRPr="00276DD2">
        <w:rPr>
          <w:rFonts w:hint="cs"/>
          <w:sz w:val="24"/>
          <w:szCs w:val="24"/>
          <w:rtl/>
        </w:rPr>
        <w:t>ויקח בועז</w:t>
      </w:r>
      <w:r w:rsidR="00276DD2">
        <w:rPr>
          <w:sz w:val="24"/>
          <w:szCs w:val="24"/>
        </w:rPr>
        <w:t xml:space="preserve"> [alone]</w:t>
      </w:r>
      <w:r w:rsidRPr="00276DD2">
        <w:rPr>
          <w:sz w:val="24"/>
          <w:szCs w:val="24"/>
        </w:rPr>
        <w:t>) –</w:t>
      </w:r>
    </w:p>
    <w:p w:rsidR="00505540" w:rsidRPr="00276DD2" w:rsidRDefault="00505540" w:rsidP="00505540">
      <w:pPr>
        <w:rPr>
          <w:sz w:val="24"/>
          <w:szCs w:val="24"/>
        </w:rPr>
      </w:pPr>
    </w:p>
    <w:p w:rsidR="00505540" w:rsidRPr="00276DD2" w:rsidRDefault="00505540" w:rsidP="00505540">
      <w:pPr>
        <w:rPr>
          <w:sz w:val="24"/>
          <w:szCs w:val="24"/>
        </w:rPr>
      </w:pPr>
      <w:r w:rsidRPr="00276DD2">
        <w:rPr>
          <w:rFonts w:hint="cs"/>
          <w:sz w:val="24"/>
          <w:szCs w:val="24"/>
          <w:rtl/>
        </w:rPr>
        <w:t>תוספות</w:t>
      </w:r>
      <w:r w:rsidRPr="00276DD2">
        <w:rPr>
          <w:sz w:val="24"/>
          <w:szCs w:val="24"/>
        </w:rPr>
        <w:t xml:space="preserve"> replies:</w:t>
      </w:r>
    </w:p>
    <w:p w:rsidR="00BA1C83" w:rsidRPr="00276DD2" w:rsidRDefault="00A237DB" w:rsidP="00276DD2">
      <w:pPr>
        <w:bidi/>
        <w:rPr>
          <w:rFonts w:cs="David"/>
          <w:b/>
          <w:bCs/>
        </w:rPr>
      </w:pPr>
      <w:r w:rsidRPr="00276DD2">
        <w:rPr>
          <w:rFonts w:cs="David"/>
          <w:b/>
          <w:bCs/>
          <w:rtl/>
        </w:rPr>
        <w:t>איכא למימר דהתם ברכת אירוסין</w:t>
      </w:r>
      <w:r w:rsidR="00AA1168" w:rsidRPr="00276DD2">
        <w:rPr>
          <w:rStyle w:val="FootnoteReference"/>
          <w:rFonts w:cs="David"/>
          <w:b/>
          <w:bCs/>
          <w:rtl/>
        </w:rPr>
        <w:footnoteReference w:id="5"/>
      </w:r>
      <w:r w:rsidRPr="00276DD2">
        <w:rPr>
          <w:rFonts w:cs="David"/>
          <w:b/>
          <w:bCs/>
          <w:rtl/>
        </w:rPr>
        <w:t xml:space="preserve"> והכא ברכת נישואין</w:t>
      </w:r>
      <w:r w:rsidR="00AA1168" w:rsidRPr="00276DD2">
        <w:rPr>
          <w:rStyle w:val="FootnoteReference"/>
          <w:rFonts w:cs="David"/>
          <w:b/>
          <w:bCs/>
          <w:rtl/>
        </w:rPr>
        <w:footnoteReference w:id="6"/>
      </w:r>
      <w:r w:rsidRPr="00276DD2">
        <w:rPr>
          <w:rFonts w:cs="David"/>
          <w:b/>
          <w:bCs/>
          <w:rtl/>
        </w:rPr>
        <w:t xml:space="preserve"> </w:t>
      </w:r>
      <w:r w:rsidR="00276DD2">
        <w:rPr>
          <w:rFonts w:cs="David" w:hint="cs"/>
          <w:b/>
          <w:bCs/>
          <w:rtl/>
        </w:rPr>
        <w:t>-</w:t>
      </w:r>
    </w:p>
    <w:p w:rsidR="00505540" w:rsidRDefault="00505540" w:rsidP="00505540">
      <w:pPr>
        <w:rPr>
          <w:b/>
          <w:bCs/>
        </w:rPr>
      </w:pPr>
      <w:r>
        <w:rPr>
          <w:b/>
          <w:bCs/>
        </w:rPr>
        <w:t xml:space="preserve">One can say; that there </w:t>
      </w:r>
      <w:r>
        <w:t xml:space="preserve">(in </w:t>
      </w:r>
      <w:r>
        <w:rPr>
          <w:rFonts w:hint="cs"/>
          <w:rtl/>
        </w:rPr>
        <w:t>מסכת כלה</w:t>
      </w:r>
      <w:r>
        <w:t xml:space="preserve"> by </w:t>
      </w:r>
      <w:r>
        <w:rPr>
          <w:rFonts w:hint="cs"/>
          <w:rtl/>
        </w:rPr>
        <w:t>רבקה</w:t>
      </w:r>
      <w:r>
        <w:t xml:space="preserve">) it was regarding </w:t>
      </w:r>
      <w:r>
        <w:rPr>
          <w:b/>
          <w:bCs/>
        </w:rPr>
        <w:t xml:space="preserve">the blessing of the betrothal, and here </w:t>
      </w:r>
      <w:r>
        <w:t xml:space="preserve">(by </w:t>
      </w:r>
      <w:r>
        <w:rPr>
          <w:rFonts w:hint="cs"/>
          <w:rtl/>
        </w:rPr>
        <w:t>בועז</w:t>
      </w:r>
      <w:r>
        <w:t xml:space="preserve">) it is regarding the </w:t>
      </w:r>
      <w:r w:rsidRPr="00505540">
        <w:rPr>
          <w:b/>
          <w:bCs/>
        </w:rPr>
        <w:t>blessing of the marriage</w:t>
      </w:r>
      <w:r>
        <w:rPr>
          <w:b/>
          <w:bCs/>
        </w:rPr>
        <w:t>.</w:t>
      </w:r>
    </w:p>
    <w:p w:rsidR="00505540" w:rsidRPr="00276DD2" w:rsidRDefault="00505540" w:rsidP="00505540">
      <w:pPr>
        <w:rPr>
          <w:b/>
          <w:bCs/>
          <w:sz w:val="24"/>
          <w:szCs w:val="24"/>
        </w:rPr>
      </w:pPr>
    </w:p>
    <w:p w:rsidR="00505540" w:rsidRPr="00276DD2" w:rsidRDefault="00505540" w:rsidP="00505540">
      <w:pPr>
        <w:rPr>
          <w:sz w:val="24"/>
          <w:szCs w:val="24"/>
        </w:rPr>
      </w:pPr>
      <w:r w:rsidRPr="00276DD2">
        <w:rPr>
          <w:rFonts w:hint="cs"/>
          <w:sz w:val="24"/>
          <w:szCs w:val="24"/>
          <w:rtl/>
        </w:rPr>
        <w:t>תוספות</w:t>
      </w:r>
      <w:r w:rsidRPr="00276DD2">
        <w:rPr>
          <w:sz w:val="24"/>
          <w:szCs w:val="24"/>
        </w:rPr>
        <w:t xml:space="preserve"> continues with a tangential issue:</w:t>
      </w:r>
    </w:p>
    <w:p w:rsidR="00BA1C83" w:rsidRPr="00276DD2" w:rsidRDefault="00A237DB" w:rsidP="00276DD2">
      <w:pPr>
        <w:bidi/>
        <w:rPr>
          <w:rFonts w:cs="David"/>
          <w:b/>
          <w:bCs/>
        </w:rPr>
      </w:pPr>
      <w:r w:rsidRPr="00276DD2">
        <w:rPr>
          <w:rFonts w:cs="David"/>
          <w:b/>
          <w:bCs/>
          <w:rtl/>
        </w:rPr>
        <w:t>ויש ללמוד משם שיש לברך ברכת אירוסין לאשה המתקדשת על ידי שליח</w:t>
      </w:r>
      <w:r w:rsidR="009B4A7B" w:rsidRPr="00276DD2">
        <w:rPr>
          <w:rStyle w:val="FootnoteReference"/>
          <w:rFonts w:cs="David"/>
          <w:b/>
          <w:bCs/>
          <w:rtl/>
        </w:rPr>
        <w:footnoteReference w:id="7"/>
      </w:r>
      <w:r w:rsidRPr="00276DD2">
        <w:rPr>
          <w:rFonts w:cs="David"/>
          <w:b/>
          <w:bCs/>
          <w:rtl/>
        </w:rPr>
        <w:t xml:space="preserve"> </w:t>
      </w:r>
      <w:r w:rsidR="00276DD2">
        <w:rPr>
          <w:rFonts w:cs="David" w:hint="cs"/>
          <w:b/>
          <w:bCs/>
          <w:rtl/>
        </w:rPr>
        <w:t>-</w:t>
      </w:r>
    </w:p>
    <w:p w:rsidR="00505540" w:rsidRPr="00505540" w:rsidRDefault="00505540" w:rsidP="00505540">
      <w:pPr>
        <w:rPr>
          <w:b/>
          <w:bCs/>
        </w:rPr>
      </w:pPr>
      <w:r>
        <w:rPr>
          <w:b/>
          <w:bCs/>
        </w:rPr>
        <w:t xml:space="preserve">And we can </w:t>
      </w:r>
      <w:r>
        <w:t xml:space="preserve">seemingly </w:t>
      </w:r>
      <w:r>
        <w:rPr>
          <w:b/>
          <w:bCs/>
        </w:rPr>
        <w:t xml:space="preserve">derive from there </w:t>
      </w:r>
      <w:r>
        <w:t xml:space="preserve">(by </w:t>
      </w:r>
      <w:r>
        <w:rPr>
          <w:rFonts w:hint="cs"/>
          <w:rtl/>
        </w:rPr>
        <w:t>רבקה</w:t>
      </w:r>
      <w:r>
        <w:t xml:space="preserve">), </w:t>
      </w:r>
      <w:r>
        <w:rPr>
          <w:b/>
          <w:bCs/>
        </w:rPr>
        <w:t xml:space="preserve">that one can recite the </w:t>
      </w:r>
      <w:r>
        <w:rPr>
          <w:rFonts w:hint="cs"/>
          <w:b/>
          <w:bCs/>
          <w:rtl/>
        </w:rPr>
        <w:t>ברכת אירוסין</w:t>
      </w:r>
      <w:r>
        <w:rPr>
          <w:b/>
          <w:bCs/>
        </w:rPr>
        <w:t xml:space="preserve"> to a woman is being betrothed through an agent -</w:t>
      </w:r>
    </w:p>
    <w:p w:rsidR="00BA1C83" w:rsidRPr="00276DD2" w:rsidRDefault="00A237DB" w:rsidP="00276DD2">
      <w:pPr>
        <w:bidi/>
        <w:rPr>
          <w:rFonts w:cs="David"/>
          <w:b/>
          <w:bCs/>
        </w:rPr>
      </w:pPr>
      <w:r w:rsidRPr="00276DD2">
        <w:rPr>
          <w:rFonts w:cs="David"/>
          <w:b/>
          <w:bCs/>
          <w:rtl/>
        </w:rPr>
        <w:t xml:space="preserve">שהרי אליעזר שליח היה </w:t>
      </w:r>
      <w:r w:rsidR="00276DD2">
        <w:rPr>
          <w:rFonts w:cs="David" w:hint="cs"/>
          <w:b/>
          <w:bCs/>
          <w:rtl/>
        </w:rPr>
        <w:t>-</w:t>
      </w:r>
    </w:p>
    <w:p w:rsidR="00505540" w:rsidRPr="00276DD2" w:rsidRDefault="00505540" w:rsidP="006133D4">
      <w:pPr>
        <w:rPr>
          <w:sz w:val="24"/>
          <w:szCs w:val="24"/>
        </w:rPr>
      </w:pPr>
      <w:proofErr w:type="gramStart"/>
      <w:r>
        <w:rPr>
          <w:b/>
          <w:bCs/>
        </w:rPr>
        <w:t xml:space="preserve">For </w:t>
      </w:r>
      <w:r>
        <w:rPr>
          <w:rFonts w:hint="cs"/>
          <w:b/>
          <w:bCs/>
          <w:rtl/>
        </w:rPr>
        <w:t>אליעזר</w:t>
      </w:r>
      <w:r>
        <w:rPr>
          <w:b/>
          <w:bCs/>
        </w:rPr>
        <w:t xml:space="preserve"> was a </w:t>
      </w:r>
      <w:r>
        <w:rPr>
          <w:rFonts w:hint="cs"/>
          <w:b/>
          <w:bCs/>
          <w:rtl/>
        </w:rPr>
        <w:t>שליח</w:t>
      </w:r>
      <w:r>
        <w:rPr>
          <w:b/>
          <w:bCs/>
        </w:rPr>
        <w:t xml:space="preserve"> </w:t>
      </w:r>
      <w:r w:rsidRPr="00276DD2">
        <w:rPr>
          <w:sz w:val="24"/>
          <w:szCs w:val="24"/>
        </w:rPr>
        <w:t xml:space="preserve">to be </w:t>
      </w:r>
      <w:r w:rsidRPr="00276DD2">
        <w:rPr>
          <w:rFonts w:hint="cs"/>
          <w:sz w:val="24"/>
          <w:szCs w:val="24"/>
          <w:rtl/>
        </w:rPr>
        <w:t>מקדש רבקה</w:t>
      </w:r>
      <w:r w:rsidRPr="00276DD2">
        <w:rPr>
          <w:sz w:val="24"/>
          <w:szCs w:val="24"/>
        </w:rPr>
        <w:t xml:space="preserve"> for </w:t>
      </w:r>
      <w:r w:rsidRPr="00276DD2">
        <w:rPr>
          <w:rFonts w:hint="cs"/>
          <w:sz w:val="24"/>
          <w:szCs w:val="24"/>
          <w:rtl/>
        </w:rPr>
        <w:t>יצחק</w:t>
      </w:r>
      <w:r w:rsidR="00276DD2" w:rsidRPr="00276DD2">
        <w:rPr>
          <w:sz w:val="24"/>
          <w:szCs w:val="24"/>
        </w:rPr>
        <w:t>, and the</w:t>
      </w:r>
      <w:r w:rsidR="006133D4">
        <w:rPr>
          <w:sz w:val="24"/>
          <w:szCs w:val="24"/>
        </w:rPr>
        <w:t>y</w:t>
      </w:r>
      <w:r w:rsidR="00276DD2" w:rsidRPr="00276DD2">
        <w:rPr>
          <w:sz w:val="24"/>
          <w:szCs w:val="24"/>
        </w:rPr>
        <w:t xml:space="preserve"> made </w:t>
      </w:r>
      <w:r w:rsidR="00276DD2" w:rsidRPr="00276DD2">
        <w:rPr>
          <w:rFonts w:hint="cs"/>
          <w:sz w:val="24"/>
          <w:szCs w:val="24"/>
          <w:rtl/>
        </w:rPr>
        <w:t xml:space="preserve">ברכת </w:t>
      </w:r>
      <w:r w:rsidR="006133D4">
        <w:rPr>
          <w:rFonts w:hint="cs"/>
          <w:sz w:val="24"/>
          <w:szCs w:val="24"/>
          <w:rtl/>
        </w:rPr>
        <w:t>אירוסין</w:t>
      </w:r>
      <w:r w:rsidRPr="00276DD2">
        <w:rPr>
          <w:sz w:val="24"/>
          <w:szCs w:val="24"/>
        </w:rPr>
        <w:t>.</w:t>
      </w:r>
      <w:proofErr w:type="gramEnd"/>
    </w:p>
    <w:p w:rsidR="00505540" w:rsidRPr="00276DD2" w:rsidRDefault="00505540" w:rsidP="00505540">
      <w:pPr>
        <w:rPr>
          <w:sz w:val="24"/>
          <w:szCs w:val="24"/>
        </w:rPr>
      </w:pPr>
    </w:p>
    <w:p w:rsidR="00505540" w:rsidRPr="00276DD2" w:rsidRDefault="00505540" w:rsidP="00276DD2">
      <w:pPr>
        <w:rPr>
          <w:sz w:val="24"/>
          <w:szCs w:val="24"/>
        </w:rPr>
      </w:pPr>
      <w:r w:rsidRPr="00276DD2">
        <w:rPr>
          <w:rFonts w:hint="cs"/>
          <w:sz w:val="24"/>
          <w:szCs w:val="24"/>
          <w:rtl/>
        </w:rPr>
        <w:t>תוספות</w:t>
      </w:r>
      <w:r w:rsidR="00276DD2">
        <w:rPr>
          <w:sz w:val="24"/>
          <w:szCs w:val="24"/>
        </w:rPr>
        <w:t xml:space="preserve"> </w:t>
      </w:r>
      <w:r w:rsidRPr="00276DD2">
        <w:rPr>
          <w:sz w:val="24"/>
          <w:szCs w:val="24"/>
        </w:rPr>
        <w:t>rejects the previous conclusion:</w:t>
      </w:r>
    </w:p>
    <w:p w:rsidR="00BA1C83" w:rsidRPr="00276DD2" w:rsidRDefault="00A237DB" w:rsidP="006133D4">
      <w:pPr>
        <w:widowControl w:val="0"/>
        <w:bidi/>
        <w:rPr>
          <w:rFonts w:cs="David"/>
          <w:b/>
          <w:bCs/>
        </w:rPr>
      </w:pPr>
      <w:r w:rsidRPr="00276DD2">
        <w:rPr>
          <w:rFonts w:cs="David"/>
          <w:b/>
          <w:bCs/>
          <w:rtl/>
        </w:rPr>
        <w:t>ונראה דאסמכתא</w:t>
      </w:r>
      <w:r w:rsidR="006133D4">
        <w:rPr>
          <w:rStyle w:val="FootnoteReference"/>
          <w:rFonts w:cs="David"/>
          <w:b/>
          <w:bCs/>
          <w:rtl/>
        </w:rPr>
        <w:footnoteReference w:id="8"/>
      </w:r>
      <w:r w:rsidRPr="00276DD2">
        <w:rPr>
          <w:rFonts w:cs="David"/>
          <w:b/>
          <w:bCs/>
          <w:rtl/>
        </w:rPr>
        <w:t xml:space="preserve"> בעלמא היא דעשרה לא מישתמע מהתם</w:t>
      </w:r>
      <w:r w:rsidR="001E23BE" w:rsidRPr="00276DD2">
        <w:rPr>
          <w:rStyle w:val="FootnoteReference"/>
          <w:rFonts w:cs="David"/>
          <w:b/>
          <w:bCs/>
          <w:rtl/>
        </w:rPr>
        <w:footnoteReference w:id="9"/>
      </w:r>
      <w:r w:rsidRPr="00276DD2">
        <w:rPr>
          <w:rFonts w:cs="David"/>
          <w:b/>
          <w:bCs/>
          <w:rtl/>
        </w:rPr>
        <w:t xml:space="preserve"> </w:t>
      </w:r>
      <w:r w:rsidR="00276DD2">
        <w:rPr>
          <w:rFonts w:cs="David" w:hint="cs"/>
          <w:b/>
          <w:bCs/>
          <w:rtl/>
        </w:rPr>
        <w:t>-</w:t>
      </w:r>
    </w:p>
    <w:p w:rsidR="00505540" w:rsidRPr="00276DD2" w:rsidRDefault="00505540" w:rsidP="0091698D">
      <w:pPr>
        <w:widowControl w:val="0"/>
        <w:rPr>
          <w:sz w:val="24"/>
          <w:szCs w:val="24"/>
        </w:rPr>
      </w:pPr>
      <w:r>
        <w:rPr>
          <w:b/>
          <w:bCs/>
        </w:rPr>
        <w:lastRenderedPageBreak/>
        <w:t xml:space="preserve">And it is the view </w:t>
      </w:r>
      <w:r>
        <w:t xml:space="preserve">of </w:t>
      </w:r>
      <w:r>
        <w:rPr>
          <w:rFonts w:hint="cs"/>
          <w:rtl/>
        </w:rPr>
        <w:t>תוספות</w:t>
      </w:r>
      <w:r>
        <w:t xml:space="preserve"> </w:t>
      </w:r>
      <w:r>
        <w:rPr>
          <w:b/>
          <w:bCs/>
        </w:rPr>
        <w:t xml:space="preserve">that </w:t>
      </w:r>
      <w:r>
        <w:t xml:space="preserve">the derivation from </w:t>
      </w:r>
      <w:r>
        <w:rPr>
          <w:rFonts w:hint="cs"/>
          <w:rtl/>
        </w:rPr>
        <w:t>רבקה</w:t>
      </w:r>
      <w:r>
        <w:t xml:space="preserve"> that </w:t>
      </w:r>
      <w:r>
        <w:rPr>
          <w:rFonts w:hint="cs"/>
          <w:rtl/>
        </w:rPr>
        <w:t>ברכת אירוסין</w:t>
      </w:r>
      <w:r>
        <w:t xml:space="preserve"> is </w:t>
      </w:r>
      <w:r w:rsidR="0091698D">
        <w:t>required</w:t>
      </w:r>
      <w:r>
        <w:t xml:space="preserve">, this derivation is </w:t>
      </w:r>
      <w:r>
        <w:rPr>
          <w:b/>
          <w:bCs/>
        </w:rPr>
        <w:t xml:space="preserve">merely a support </w:t>
      </w:r>
      <w:r>
        <w:t>to the practice but not a source,</w:t>
      </w:r>
      <w:r w:rsidR="006133D4" w:rsidRPr="006133D4">
        <w:rPr>
          <w:rStyle w:val="FootnoteReference"/>
          <w:rFonts w:cs="David"/>
          <w:b/>
          <w:bCs/>
          <w:rtl/>
        </w:rPr>
        <w:t xml:space="preserve"> </w:t>
      </w:r>
      <w:r w:rsidR="006133D4" w:rsidRPr="00EA6757">
        <w:rPr>
          <w:rStyle w:val="FootnoteReference"/>
          <w:rFonts w:asciiTheme="majorBidi" w:hAnsiTheme="majorBidi" w:cstheme="majorBidi"/>
          <w:rtl/>
        </w:rPr>
        <w:footnoteReference w:id="10"/>
      </w:r>
      <w:r>
        <w:t xml:space="preserve"> for </w:t>
      </w:r>
      <w:r>
        <w:rPr>
          <w:b/>
          <w:bCs/>
        </w:rPr>
        <w:t xml:space="preserve">it is not understood from there that ten </w:t>
      </w:r>
      <w:r w:rsidRPr="00276DD2">
        <w:rPr>
          <w:sz w:val="24"/>
          <w:szCs w:val="24"/>
        </w:rPr>
        <w:t>people are required -</w:t>
      </w:r>
    </w:p>
    <w:p w:rsidR="00A237DB" w:rsidRPr="00276DD2" w:rsidRDefault="00A237DB" w:rsidP="00276DD2">
      <w:pPr>
        <w:widowControl w:val="0"/>
        <w:bidi/>
        <w:rPr>
          <w:rFonts w:cs="David"/>
          <w:b/>
          <w:bCs/>
        </w:rPr>
      </w:pPr>
      <w:r w:rsidRPr="00276DD2">
        <w:rPr>
          <w:rFonts w:cs="David"/>
          <w:b/>
          <w:bCs/>
          <w:rtl/>
        </w:rPr>
        <w:t>ולא איירי פשטיה דקרא בברכת</w:t>
      </w:r>
      <w:r w:rsidR="001E23BE" w:rsidRPr="00276DD2">
        <w:rPr>
          <w:rStyle w:val="FootnoteReference"/>
          <w:rFonts w:cs="David"/>
          <w:b/>
          <w:bCs/>
          <w:rtl/>
        </w:rPr>
        <w:footnoteReference w:id="11"/>
      </w:r>
      <w:r w:rsidRPr="00276DD2">
        <w:rPr>
          <w:rFonts w:cs="David"/>
          <w:b/>
          <w:bCs/>
          <w:rtl/>
        </w:rPr>
        <w:t xml:space="preserve"> אירוסין</w:t>
      </w:r>
      <w:r w:rsidRPr="00276DD2">
        <w:rPr>
          <w:rFonts w:cs="David"/>
          <w:b/>
          <w:bCs/>
        </w:rPr>
        <w:t>:</w:t>
      </w:r>
    </w:p>
    <w:p w:rsidR="00505540" w:rsidRPr="00276DD2" w:rsidRDefault="00505540" w:rsidP="006133D4">
      <w:pPr>
        <w:widowControl w:val="0"/>
        <w:rPr>
          <w:b/>
          <w:bCs/>
          <w:sz w:val="24"/>
          <w:szCs w:val="24"/>
        </w:rPr>
      </w:pPr>
      <w:r>
        <w:rPr>
          <w:b/>
          <w:bCs/>
        </w:rPr>
        <w:t xml:space="preserve">And the simple interpretation of the verse does not indicate that it is discussing </w:t>
      </w:r>
      <w:r>
        <w:rPr>
          <w:rFonts w:hint="cs"/>
          <w:b/>
          <w:bCs/>
          <w:rtl/>
        </w:rPr>
        <w:t>ברכת אירוסין</w:t>
      </w:r>
      <w:r>
        <w:rPr>
          <w:b/>
          <w:bCs/>
        </w:rPr>
        <w:t xml:space="preserve">, </w:t>
      </w:r>
      <w:r w:rsidR="006133D4">
        <w:rPr>
          <w:sz w:val="24"/>
          <w:szCs w:val="24"/>
        </w:rPr>
        <w:t>which is</w:t>
      </w:r>
      <w:r w:rsidR="00276DD2">
        <w:rPr>
          <w:sz w:val="24"/>
          <w:szCs w:val="24"/>
        </w:rPr>
        <w:t xml:space="preserve"> </w:t>
      </w:r>
      <w:r w:rsidR="00276DD2">
        <w:rPr>
          <w:rFonts w:hint="cs"/>
          <w:sz w:val="24"/>
          <w:szCs w:val="24"/>
          <w:rtl/>
        </w:rPr>
        <w:t>וצונו על העריות</w:t>
      </w:r>
      <w:r w:rsidR="00276DD2">
        <w:rPr>
          <w:sz w:val="24"/>
          <w:szCs w:val="24"/>
        </w:rPr>
        <w:t xml:space="preserve">, </w:t>
      </w:r>
      <w:r w:rsidRPr="00276DD2">
        <w:rPr>
          <w:sz w:val="24"/>
          <w:szCs w:val="24"/>
        </w:rPr>
        <w:t>but rather merely a blessing from her family that she should be successful, etc.</w:t>
      </w:r>
      <w:r w:rsidRPr="00276DD2">
        <w:rPr>
          <w:b/>
          <w:bCs/>
          <w:sz w:val="24"/>
          <w:szCs w:val="24"/>
        </w:rPr>
        <w:t xml:space="preserve"> </w:t>
      </w:r>
    </w:p>
    <w:p w:rsidR="003D4453" w:rsidRPr="00276DD2" w:rsidRDefault="003D4453" w:rsidP="00A237DB">
      <w:pPr>
        <w:bidi/>
        <w:rPr>
          <w:sz w:val="24"/>
          <w:szCs w:val="24"/>
        </w:rPr>
      </w:pPr>
    </w:p>
    <w:p w:rsidR="00AD74A1" w:rsidRPr="00AD74A1" w:rsidRDefault="00AD74A1" w:rsidP="00AD74A1">
      <w:pPr>
        <w:rPr>
          <w:rFonts w:ascii="Copperplate Gothic Bold" w:hAnsi="Copperplate Gothic Bold"/>
          <w:u w:val="double"/>
        </w:rPr>
      </w:pPr>
      <w:r w:rsidRPr="00AD74A1">
        <w:rPr>
          <w:rFonts w:ascii="Copperplate Gothic Bold" w:hAnsi="Copperplate Gothic Bold"/>
          <w:u w:val="double"/>
        </w:rPr>
        <w:t>Summary</w:t>
      </w:r>
    </w:p>
    <w:p w:rsidR="00AD74A1" w:rsidRDefault="009B4A7B" w:rsidP="0091698D">
      <w:r>
        <w:t xml:space="preserve">We can </w:t>
      </w:r>
      <w:r w:rsidR="0091698D">
        <w:t>perhaps</w:t>
      </w:r>
      <w:r>
        <w:t xml:space="preserve"> say that the </w:t>
      </w:r>
      <w:r>
        <w:rPr>
          <w:rFonts w:hint="cs"/>
          <w:rtl/>
        </w:rPr>
        <w:t>ברכה</w:t>
      </w:r>
      <w:r>
        <w:t xml:space="preserve"> by </w:t>
      </w:r>
      <w:r>
        <w:rPr>
          <w:rFonts w:hint="cs"/>
          <w:rtl/>
        </w:rPr>
        <w:t>רבקה</w:t>
      </w:r>
      <w:r>
        <w:t xml:space="preserve"> is </w:t>
      </w:r>
      <w:r>
        <w:rPr>
          <w:rFonts w:hint="cs"/>
          <w:rtl/>
        </w:rPr>
        <w:t>ברכת אי</w:t>
      </w:r>
      <w:r w:rsidR="006133D4">
        <w:rPr>
          <w:rFonts w:hint="cs"/>
          <w:rtl/>
        </w:rPr>
        <w:t>ר</w:t>
      </w:r>
      <w:r>
        <w:rPr>
          <w:rFonts w:hint="cs"/>
          <w:rtl/>
        </w:rPr>
        <w:t>ו</w:t>
      </w:r>
      <w:r w:rsidR="006133D4">
        <w:rPr>
          <w:rFonts w:hint="cs"/>
          <w:rtl/>
        </w:rPr>
        <w:t>ס</w:t>
      </w:r>
      <w:r>
        <w:rPr>
          <w:rFonts w:hint="cs"/>
          <w:rtl/>
        </w:rPr>
        <w:t>ין</w:t>
      </w:r>
      <w:r>
        <w:t xml:space="preserve"> (and by </w:t>
      </w:r>
      <w:r>
        <w:rPr>
          <w:rFonts w:hint="cs"/>
          <w:rtl/>
        </w:rPr>
        <w:t>בועז</w:t>
      </w:r>
      <w:r>
        <w:t xml:space="preserve"> it is </w:t>
      </w:r>
      <w:r>
        <w:rPr>
          <w:rFonts w:hint="cs"/>
          <w:rtl/>
        </w:rPr>
        <w:t>ברכת נישואין</w:t>
      </w:r>
      <w:r>
        <w:t xml:space="preserve">), and derive that one makes </w:t>
      </w:r>
      <w:r>
        <w:rPr>
          <w:rFonts w:hint="cs"/>
          <w:rtl/>
        </w:rPr>
        <w:t>ברכת אירוסין</w:t>
      </w:r>
      <w:r>
        <w:t xml:space="preserve"> even if the </w:t>
      </w:r>
      <w:r>
        <w:rPr>
          <w:rFonts w:hint="cs"/>
          <w:rtl/>
        </w:rPr>
        <w:t>שליח</w:t>
      </w:r>
      <w:r>
        <w:t xml:space="preserve"> is </w:t>
      </w:r>
      <w:r>
        <w:rPr>
          <w:rFonts w:hint="cs"/>
          <w:rtl/>
        </w:rPr>
        <w:t>מקדש</w:t>
      </w:r>
      <w:r>
        <w:t xml:space="preserve">, or </w:t>
      </w:r>
      <w:r w:rsidR="0091698D">
        <w:t>probably assume that</w:t>
      </w:r>
      <w:r>
        <w:t xml:space="preserve"> the </w:t>
      </w:r>
      <w:r>
        <w:rPr>
          <w:rFonts w:hint="cs"/>
          <w:rtl/>
        </w:rPr>
        <w:t>פסוק</w:t>
      </w:r>
      <w:r>
        <w:t xml:space="preserve"> of </w:t>
      </w:r>
      <w:r>
        <w:rPr>
          <w:rFonts w:hint="cs"/>
          <w:rtl/>
        </w:rPr>
        <w:t>רבקה</w:t>
      </w:r>
      <w:r>
        <w:t xml:space="preserve"> was merely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אסמכתא</w:t>
      </w:r>
      <w:r>
        <w:t xml:space="preserve"> (and we do not derive anything from it).</w:t>
      </w:r>
    </w:p>
    <w:p w:rsidR="00AD74A1" w:rsidRPr="00276DD2" w:rsidRDefault="00AD74A1" w:rsidP="00AD74A1">
      <w:pPr>
        <w:rPr>
          <w:sz w:val="24"/>
          <w:szCs w:val="24"/>
        </w:rPr>
      </w:pPr>
    </w:p>
    <w:p w:rsidR="00AD74A1" w:rsidRPr="00AD74A1" w:rsidRDefault="00AD74A1" w:rsidP="00AD74A1">
      <w:pPr>
        <w:rPr>
          <w:rFonts w:ascii="Copperplate Gothic Bold" w:hAnsi="Copperplate Gothic Bold"/>
          <w:u w:val="double"/>
        </w:rPr>
      </w:pPr>
      <w:r w:rsidRPr="00AD74A1">
        <w:rPr>
          <w:rFonts w:ascii="Copperplate Gothic Bold" w:hAnsi="Copperplate Gothic Bold"/>
          <w:u w:val="double"/>
        </w:rPr>
        <w:t>Thinking it over</w:t>
      </w:r>
    </w:p>
    <w:p w:rsidR="00AD74A1" w:rsidRDefault="00276DD2" w:rsidP="00AD74A1">
      <w:r>
        <w:t xml:space="preserve">1. </w:t>
      </w:r>
      <w:r w:rsidR="00AA1168">
        <w:rPr>
          <w:rFonts w:hint="cs"/>
          <w:rtl/>
        </w:rPr>
        <w:t>תוספות</w:t>
      </w:r>
      <w:r w:rsidR="00AA1168">
        <w:t xml:space="preserve"> (initially) states that the </w:t>
      </w:r>
      <w:r w:rsidR="00AA1168">
        <w:rPr>
          <w:rFonts w:hint="cs"/>
          <w:rtl/>
        </w:rPr>
        <w:t>ברכה</w:t>
      </w:r>
      <w:r w:rsidR="00AA1168">
        <w:t xml:space="preserve"> by </w:t>
      </w:r>
      <w:r w:rsidR="00AA1168">
        <w:rPr>
          <w:rFonts w:hint="cs"/>
          <w:rtl/>
        </w:rPr>
        <w:t>רבקה</w:t>
      </w:r>
      <w:r w:rsidR="00AA1168">
        <w:t xml:space="preserve"> refers to </w:t>
      </w:r>
      <w:r w:rsidR="00AA1168">
        <w:rPr>
          <w:rFonts w:hint="cs"/>
          <w:rtl/>
        </w:rPr>
        <w:t>ברכת אירוסין</w:t>
      </w:r>
      <w:r w:rsidR="00AA1168">
        <w:t>.</w:t>
      </w:r>
      <w:r w:rsidR="00714FB9">
        <w:rPr>
          <w:rStyle w:val="FootnoteReference"/>
        </w:rPr>
        <w:footnoteReference w:id="12"/>
      </w:r>
      <w:r w:rsidR="00AA1168">
        <w:t xml:space="preserve"> Seemingly this is difficult, for </w:t>
      </w:r>
      <w:r w:rsidR="00AA1168">
        <w:rPr>
          <w:rFonts w:hint="cs"/>
          <w:rtl/>
        </w:rPr>
        <w:t>מס' כלה</w:t>
      </w:r>
      <w:r w:rsidR="00AA1168">
        <w:t xml:space="preserve"> begins </w:t>
      </w:r>
      <w:r w:rsidR="00AA1168">
        <w:rPr>
          <w:rFonts w:hint="cs"/>
          <w:rtl/>
        </w:rPr>
        <w:t>כלה בלא ברכה אסורה לבעלה וכו'</w:t>
      </w:r>
      <w:r w:rsidR="00AA1168">
        <w:t xml:space="preserve">; </w:t>
      </w:r>
      <w:r w:rsidR="00714FB9">
        <w:t xml:space="preserve">indicating that with a </w:t>
      </w:r>
      <w:r w:rsidR="00714FB9">
        <w:rPr>
          <w:rFonts w:hint="cs"/>
          <w:rtl/>
        </w:rPr>
        <w:t>ברכה</w:t>
      </w:r>
      <w:r w:rsidR="00714FB9">
        <w:t xml:space="preserve"> she is permitted. However if we assume that the </w:t>
      </w:r>
      <w:r w:rsidR="00714FB9">
        <w:rPr>
          <w:rFonts w:hint="cs"/>
          <w:rtl/>
        </w:rPr>
        <w:t>ברכה</w:t>
      </w:r>
      <w:r w:rsidR="00714FB9">
        <w:t xml:space="preserve"> of </w:t>
      </w:r>
      <w:r w:rsidR="00714FB9">
        <w:rPr>
          <w:rFonts w:hint="cs"/>
          <w:rtl/>
        </w:rPr>
        <w:t>רבקה</w:t>
      </w:r>
      <w:r w:rsidR="00714FB9">
        <w:t xml:space="preserve"> was </w:t>
      </w:r>
      <w:r w:rsidR="00714FB9">
        <w:rPr>
          <w:rFonts w:hint="cs"/>
          <w:rtl/>
        </w:rPr>
        <w:t>ברכת אירוסין</w:t>
      </w:r>
      <w:r w:rsidR="00714FB9">
        <w:t xml:space="preserve">, then she is still forbidden until the </w:t>
      </w:r>
      <w:r w:rsidR="00714FB9">
        <w:rPr>
          <w:rFonts w:hint="cs"/>
          <w:rtl/>
        </w:rPr>
        <w:t>נישואין</w:t>
      </w:r>
      <w:r w:rsidR="00714FB9">
        <w:t>!</w:t>
      </w:r>
      <w:r w:rsidR="00714FB9">
        <w:rPr>
          <w:rStyle w:val="FootnoteReference"/>
        </w:rPr>
        <w:footnoteReference w:id="13"/>
      </w:r>
      <w:r w:rsidR="00AA1168">
        <w:t xml:space="preserve"> </w:t>
      </w:r>
    </w:p>
    <w:p w:rsidR="00276DD2" w:rsidRDefault="00276DD2" w:rsidP="00AD74A1"/>
    <w:p w:rsidR="00276DD2" w:rsidRDefault="00276DD2" w:rsidP="00AD74A1">
      <w:r>
        <w:t xml:space="preserve">2. </w:t>
      </w:r>
      <w:r>
        <w:rPr>
          <w:rFonts w:hint="cs"/>
          <w:rtl/>
        </w:rPr>
        <w:t>תוספות</w:t>
      </w:r>
      <w:r>
        <w:t xml:space="preserve"> writes that the </w:t>
      </w:r>
      <w:r>
        <w:rPr>
          <w:rFonts w:hint="cs"/>
          <w:rtl/>
        </w:rPr>
        <w:t>לימוד</w:t>
      </w:r>
      <w:r>
        <w:t xml:space="preserve"> from </w:t>
      </w:r>
      <w:r>
        <w:rPr>
          <w:rFonts w:hint="cs"/>
          <w:rtl/>
        </w:rPr>
        <w:t>רבקה</w:t>
      </w:r>
      <w:r>
        <w:t xml:space="preserve"> is merely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אסמכתא</w:t>
      </w:r>
      <w:r>
        <w:t xml:space="preserve">, since we cannot derive from it the requirement of </w:t>
      </w:r>
      <w:r>
        <w:rPr>
          <w:rFonts w:hint="cs"/>
          <w:rtl/>
        </w:rPr>
        <w:t>עשרה אנשים</w:t>
      </w:r>
      <w:r>
        <w:t>.</w:t>
      </w:r>
      <w:r>
        <w:rPr>
          <w:rStyle w:val="FootnoteReference"/>
        </w:rPr>
        <w:footnoteReference w:id="14"/>
      </w:r>
      <w:r>
        <w:t xml:space="preserve"> However in </w:t>
      </w:r>
      <w:r>
        <w:rPr>
          <w:rFonts w:hint="cs"/>
          <w:rtl/>
        </w:rPr>
        <w:t>מסכת כלה</w:t>
      </w:r>
      <w:r>
        <w:t xml:space="preserve"> it merely states that we derive the </w:t>
      </w:r>
      <w:r>
        <w:rPr>
          <w:rFonts w:hint="cs"/>
          <w:rtl/>
        </w:rPr>
        <w:t>ברכה</w:t>
      </w:r>
      <w:r>
        <w:t xml:space="preserve"> from </w:t>
      </w:r>
      <w:r>
        <w:rPr>
          <w:rFonts w:hint="cs"/>
          <w:rtl/>
        </w:rPr>
        <w:t>רבקה</w:t>
      </w:r>
      <w:r>
        <w:t xml:space="preserve"> it does not claim that we derive the requirement for </w:t>
      </w:r>
      <w:r>
        <w:rPr>
          <w:rFonts w:hint="cs"/>
          <w:rtl/>
        </w:rPr>
        <w:t>עשרה</w:t>
      </w:r>
      <w:r>
        <w:t xml:space="preserve"> from </w:t>
      </w:r>
      <w:r>
        <w:rPr>
          <w:rFonts w:hint="cs"/>
          <w:rtl/>
        </w:rPr>
        <w:t>רבקה</w:t>
      </w:r>
      <w:r>
        <w:t>!</w:t>
      </w:r>
      <w:r w:rsidR="006133D4">
        <w:rPr>
          <w:rStyle w:val="FootnoteReference"/>
        </w:rPr>
        <w:footnoteReference w:id="15"/>
      </w:r>
    </w:p>
    <w:sectPr w:rsidR="00276D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796" w:rsidRDefault="00B30796" w:rsidP="00AD74A1">
      <w:pPr>
        <w:spacing w:line="240" w:lineRule="auto"/>
      </w:pPr>
      <w:r>
        <w:separator/>
      </w:r>
    </w:p>
  </w:endnote>
  <w:endnote w:type="continuationSeparator" w:id="0">
    <w:p w:rsidR="00B30796" w:rsidRDefault="00B30796" w:rsidP="00AD7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94501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E7F6F" w:rsidRDefault="00BE7F6F">
        <w:pPr>
          <w:pStyle w:val="Footer"/>
          <w:jc w:val="center"/>
          <w:rPr>
            <w:noProof/>
            <w:sz w:val="16"/>
            <w:szCs w:val="16"/>
          </w:rPr>
        </w:pPr>
        <w:r w:rsidRPr="00BE7F6F">
          <w:rPr>
            <w:sz w:val="20"/>
            <w:szCs w:val="20"/>
          </w:rPr>
          <w:fldChar w:fldCharType="begin"/>
        </w:r>
        <w:r w:rsidRPr="00BE7F6F">
          <w:rPr>
            <w:sz w:val="20"/>
            <w:szCs w:val="20"/>
          </w:rPr>
          <w:instrText xml:space="preserve"> PAGE   \* MERGEFORMAT </w:instrText>
        </w:r>
        <w:r w:rsidRPr="00BE7F6F">
          <w:rPr>
            <w:sz w:val="20"/>
            <w:szCs w:val="20"/>
          </w:rPr>
          <w:fldChar w:fldCharType="separate"/>
        </w:r>
        <w:r w:rsidR="00411798">
          <w:rPr>
            <w:noProof/>
            <w:sz w:val="20"/>
            <w:szCs w:val="20"/>
          </w:rPr>
          <w:t>1</w:t>
        </w:r>
        <w:r w:rsidRPr="00BE7F6F">
          <w:rPr>
            <w:noProof/>
            <w:sz w:val="20"/>
            <w:szCs w:val="20"/>
          </w:rPr>
          <w:fldChar w:fldCharType="end"/>
        </w:r>
      </w:p>
      <w:p w:rsidR="00BE7F6F" w:rsidRPr="00BE7F6F" w:rsidRDefault="00BE7F6F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BE7F6F" w:rsidRDefault="00BE7F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796" w:rsidRDefault="00B30796" w:rsidP="00AD74A1">
      <w:pPr>
        <w:spacing w:line="240" w:lineRule="auto"/>
      </w:pPr>
      <w:r>
        <w:separator/>
      </w:r>
    </w:p>
  </w:footnote>
  <w:footnote w:type="continuationSeparator" w:id="0">
    <w:p w:rsidR="00B30796" w:rsidRDefault="00B30796" w:rsidP="00AD74A1">
      <w:pPr>
        <w:spacing w:line="240" w:lineRule="auto"/>
      </w:pPr>
      <w:r>
        <w:continuationSeparator/>
      </w:r>
    </w:p>
  </w:footnote>
  <w:footnote w:id="1">
    <w:p w:rsidR="001E23BE" w:rsidRDefault="001E23BE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</w:rPr>
        <w:t>תוספות</w:t>
      </w:r>
      <w:r>
        <w:t xml:space="preserve"> may also be referencing the </w:t>
      </w:r>
      <w:r>
        <w:rPr>
          <w:rFonts w:hint="cs"/>
          <w:rtl/>
        </w:rPr>
        <w:t>גמרא</w:t>
      </w:r>
      <w:r>
        <w:t xml:space="preserve"> on the </w:t>
      </w:r>
      <w:r>
        <w:rPr>
          <w:rFonts w:hint="cs"/>
          <w:rtl/>
        </w:rPr>
        <w:t>עמוד א'</w:t>
      </w:r>
      <w:r>
        <w:t xml:space="preserve"> (as the previous three </w:t>
      </w:r>
      <w:r>
        <w:rPr>
          <w:rFonts w:hint="cs"/>
          <w:rtl/>
        </w:rPr>
        <w:t>תוספות</w:t>
      </w:r>
      <w:r>
        <w:t xml:space="preserve"> were).</w:t>
      </w:r>
    </w:p>
  </w:footnote>
  <w:footnote w:id="2">
    <w:p w:rsidR="001E23BE" w:rsidRDefault="001E23BE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In the </w:t>
      </w:r>
      <w:r>
        <w:rPr>
          <w:rFonts w:hint="cs"/>
          <w:rtl/>
        </w:rPr>
        <w:t>פסוק</w:t>
      </w:r>
      <w:r>
        <w:t xml:space="preserve"> as well as in our </w:t>
      </w:r>
      <w:r>
        <w:rPr>
          <w:rFonts w:hint="cs"/>
          <w:rtl/>
        </w:rPr>
        <w:t>גמרא</w:t>
      </w:r>
      <w:r>
        <w:t xml:space="preserve"> the word </w:t>
      </w:r>
      <w:r>
        <w:rPr>
          <w:rFonts w:hint="cs"/>
          <w:rtl/>
        </w:rPr>
        <w:t>'בועז'</w:t>
      </w:r>
      <w:r>
        <w:t xml:space="preserve"> does not appear.</w:t>
      </w:r>
    </w:p>
  </w:footnote>
  <w:footnote w:id="3">
    <w:p w:rsidR="00AA1168" w:rsidRDefault="00AA1168" w:rsidP="00411798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In the very beginning of </w:t>
      </w:r>
      <w:r>
        <w:rPr>
          <w:rFonts w:hint="cs"/>
          <w:rtl/>
        </w:rPr>
        <w:t>מסכת כלה</w:t>
      </w:r>
      <w:r>
        <w:t xml:space="preserve"> (which can be [usually] found in the back of </w:t>
      </w:r>
      <w:r>
        <w:rPr>
          <w:rFonts w:hint="cs"/>
          <w:rtl/>
        </w:rPr>
        <w:t>מס' ע"ז</w:t>
      </w:r>
      <w:r>
        <w:t xml:space="preserve">) it states </w:t>
      </w:r>
      <w:r>
        <w:rPr>
          <w:rFonts w:hint="cs"/>
          <w:rtl/>
        </w:rPr>
        <w:t>[כלה בלא ברכה אסורה לבעלה כנדה] ומניין לברכת חתנים מה"ת שנאמר ויברכו את רבקה ומנין שאפילו אלמנה וכו' שנאמר ויקח בועז עשרה אנשים וכו'</w:t>
      </w:r>
      <w:r>
        <w:t xml:space="preserve">. It would seem that </w:t>
      </w:r>
      <w:r>
        <w:rPr>
          <w:rFonts w:hint="cs"/>
          <w:rtl/>
        </w:rPr>
        <w:t>תוספות</w:t>
      </w:r>
      <w:r>
        <w:t xml:space="preserve"> question is why the </w:t>
      </w:r>
      <w:r>
        <w:rPr>
          <w:rtl/>
        </w:rPr>
        <w:t>מסכת</w:t>
      </w:r>
      <w:r w:rsidR="00411798">
        <w:rPr>
          <w:rFonts w:hint="cs"/>
          <w:rtl/>
        </w:rPr>
        <w:t xml:space="preserve"> </w:t>
      </w:r>
      <w:r w:rsidR="00411798">
        <w:rPr>
          <w:rtl/>
        </w:rPr>
        <w:t>כלה</w:t>
      </w:r>
      <w:bookmarkStart w:id="0" w:name="_GoBack"/>
      <w:bookmarkEnd w:id="0"/>
      <w:r>
        <w:t xml:space="preserve"> cites the </w:t>
      </w:r>
      <w:r>
        <w:rPr>
          <w:rFonts w:hint="cs"/>
          <w:rtl/>
        </w:rPr>
        <w:t>פסוק</w:t>
      </w:r>
      <w:r>
        <w:t xml:space="preserve"> of </w:t>
      </w:r>
      <w:r>
        <w:rPr>
          <w:rFonts w:hint="cs"/>
          <w:rtl/>
        </w:rPr>
        <w:t>רבקה</w:t>
      </w:r>
      <w:r>
        <w:t xml:space="preserve">, since it can all be derived from </w:t>
      </w:r>
      <w:r>
        <w:rPr>
          <w:rFonts w:hint="cs"/>
          <w:rtl/>
        </w:rPr>
        <w:t>בועז</w:t>
      </w:r>
      <w:r>
        <w:t xml:space="preserve"> (and he cites that </w:t>
      </w:r>
      <w:r>
        <w:rPr>
          <w:rFonts w:hint="cs"/>
          <w:rtl/>
        </w:rPr>
        <w:t>פסוק</w:t>
      </w:r>
      <w:r>
        <w:t xml:space="preserve"> anyway).</w:t>
      </w:r>
      <w:r w:rsidR="00F40246">
        <w:t xml:space="preserve"> See </w:t>
      </w:r>
      <w:r w:rsidR="00F40246">
        <w:rPr>
          <w:rFonts w:hint="cs"/>
          <w:rtl/>
        </w:rPr>
        <w:t>סוכ"ד אות עד</w:t>
      </w:r>
      <w:r w:rsidR="00F40246">
        <w:t xml:space="preserve"> for an alternate explanation.</w:t>
      </w:r>
    </w:p>
  </w:footnote>
  <w:footnote w:id="4">
    <w:p w:rsidR="00BA1C83" w:rsidRDefault="00BA1C83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פסוק ס'</w:t>
      </w:r>
      <w:r>
        <w:t>.</w:t>
      </w:r>
    </w:p>
  </w:footnote>
  <w:footnote w:id="5">
    <w:p w:rsidR="00AA1168" w:rsidRPr="00AA1168" w:rsidRDefault="00AA1168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The </w:t>
      </w:r>
      <w:r>
        <w:rPr>
          <w:rFonts w:hint="cs"/>
          <w:rtl/>
        </w:rPr>
        <w:t>ברכה</w:t>
      </w:r>
      <w:r>
        <w:t xml:space="preserve"> of </w:t>
      </w:r>
      <w:r>
        <w:rPr>
          <w:rFonts w:hint="cs"/>
          <w:rtl/>
        </w:rPr>
        <w:t>וצונו על העריות וכו'</w:t>
      </w:r>
      <w:r>
        <w:t>.</w:t>
      </w:r>
      <w:proofErr w:type="gramEnd"/>
      <w:r>
        <w:t xml:space="preserve"> See ‘Thinking it over’</w:t>
      </w:r>
      <w:r w:rsidR="00276DD2">
        <w:t># 1</w:t>
      </w:r>
      <w:r>
        <w:t>.</w:t>
      </w:r>
    </w:p>
  </w:footnote>
  <w:footnote w:id="6">
    <w:p w:rsidR="00AA1168" w:rsidRPr="00AA1168" w:rsidRDefault="00AA1168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The (six) </w:t>
      </w:r>
      <w:r>
        <w:rPr>
          <w:rFonts w:hint="cs"/>
          <w:rtl/>
        </w:rPr>
        <w:t>ברכות</w:t>
      </w:r>
      <w:r>
        <w:t xml:space="preserve"> beginning with </w:t>
      </w:r>
      <w:r>
        <w:rPr>
          <w:rFonts w:hint="cs"/>
          <w:rtl/>
        </w:rPr>
        <w:t>שהכל ברא לכבודו</w:t>
      </w:r>
      <w:r>
        <w:t>.</w:t>
      </w:r>
      <w:proofErr w:type="gramEnd"/>
    </w:p>
  </w:footnote>
  <w:footnote w:id="7">
    <w:p w:rsidR="009B4A7B" w:rsidRPr="009B4A7B" w:rsidRDefault="009B4A7B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This expression seemingly indicates a case where the woman is not present and she is becoming </w:t>
      </w:r>
      <w:r>
        <w:rPr>
          <w:rFonts w:hint="cs"/>
          <w:rtl/>
        </w:rPr>
        <w:t>מקודשת</w:t>
      </w:r>
      <w:r>
        <w:t xml:space="preserve"> through a </w:t>
      </w:r>
      <w:r>
        <w:rPr>
          <w:rFonts w:hint="cs"/>
          <w:rtl/>
        </w:rPr>
        <w:t>שליח</w:t>
      </w:r>
      <w:r>
        <w:t xml:space="preserve">. It is not clear why </w:t>
      </w:r>
      <w:r>
        <w:rPr>
          <w:rFonts w:hint="cs"/>
          <w:rtl/>
        </w:rPr>
        <w:t>תוס'</w:t>
      </w:r>
      <w:r>
        <w:t xml:space="preserve"> did not say this in a case where </w:t>
      </w:r>
      <w:r>
        <w:rPr>
          <w:rFonts w:hint="cs"/>
          <w:rtl/>
        </w:rPr>
        <w:t>האיש מקדש ע"י שליח</w:t>
      </w:r>
      <w:r>
        <w:t xml:space="preserve">, since this is the case by </w:t>
      </w:r>
      <w:r>
        <w:rPr>
          <w:rFonts w:hint="cs"/>
          <w:rtl/>
        </w:rPr>
        <w:t>רבקה</w:t>
      </w:r>
      <w:r>
        <w:t>.</w:t>
      </w:r>
    </w:p>
  </w:footnote>
  <w:footnote w:id="8">
    <w:p w:rsidR="006133D4" w:rsidRPr="006133D4" w:rsidRDefault="006133D4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אסמכתא</w:t>
      </w:r>
      <w:r>
        <w:t xml:space="preserve"> refers to a derivation from a </w:t>
      </w:r>
      <w:r>
        <w:rPr>
          <w:rFonts w:hint="cs"/>
          <w:rtl/>
        </w:rPr>
        <w:t>פסוק</w:t>
      </w:r>
      <w:r>
        <w:t>, which is not really the source of th</w:t>
      </w:r>
      <w:r w:rsidR="0091698D">
        <w:t>e</w:t>
      </w:r>
      <w:r>
        <w:t xml:space="preserve"> ruling. The source is from elsewhere (or even </w:t>
      </w:r>
      <w:r>
        <w:rPr>
          <w:rFonts w:hint="cs"/>
          <w:rtl/>
        </w:rPr>
        <w:t>מדרבנן</w:t>
      </w:r>
      <w:r>
        <w:t>); however we cite th</w:t>
      </w:r>
      <w:r w:rsidR="0091698D">
        <w:t>e</w:t>
      </w:r>
      <w:r>
        <w:t xml:space="preserve"> </w:t>
      </w:r>
      <w:r>
        <w:rPr>
          <w:rFonts w:hint="cs"/>
          <w:rtl/>
        </w:rPr>
        <w:t>פסוק</w:t>
      </w:r>
      <w:r>
        <w:t xml:space="preserve"> as a support for th</w:t>
      </w:r>
      <w:r w:rsidR="0091698D">
        <w:t>e</w:t>
      </w:r>
      <w:r>
        <w:t xml:space="preserve"> ruling. </w:t>
      </w:r>
    </w:p>
  </w:footnote>
  <w:footnote w:id="9">
    <w:p w:rsidR="001E23BE" w:rsidRDefault="001E23BE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However by </w:t>
      </w:r>
      <w:r>
        <w:rPr>
          <w:rFonts w:hint="cs"/>
          <w:rtl/>
        </w:rPr>
        <w:t>בועז</w:t>
      </w:r>
      <w:r>
        <w:t xml:space="preserve"> it states clearly that there were </w:t>
      </w:r>
      <w:r>
        <w:rPr>
          <w:rFonts w:hint="cs"/>
          <w:rtl/>
        </w:rPr>
        <w:t>עשרה אנשים</w:t>
      </w:r>
      <w:r>
        <w:t>.</w:t>
      </w:r>
      <w:r w:rsidR="00276DD2">
        <w:t xml:space="preserve"> See ‘Thinking it over’ # 2.</w:t>
      </w:r>
    </w:p>
  </w:footnote>
  <w:footnote w:id="10">
    <w:p w:rsidR="006133D4" w:rsidRDefault="006133D4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This answers </w:t>
      </w:r>
      <w:r>
        <w:rPr>
          <w:rFonts w:hint="cs"/>
          <w:rtl/>
        </w:rPr>
        <w:t>תוספות</w:t>
      </w:r>
      <w:r>
        <w:t xml:space="preserve"> initial question as well, since we really do not derive </w:t>
      </w:r>
      <w:r>
        <w:rPr>
          <w:rFonts w:hint="cs"/>
          <w:rtl/>
        </w:rPr>
        <w:t>ברכת חתנים</w:t>
      </w:r>
      <w:r>
        <w:t xml:space="preserve"> from </w:t>
      </w:r>
      <w:r>
        <w:rPr>
          <w:rFonts w:hint="cs"/>
          <w:rtl/>
        </w:rPr>
        <w:t>רבקה</w:t>
      </w:r>
      <w:r>
        <w:t xml:space="preserve">; they merely cite it to have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אסמכתא מן התורה</w:t>
      </w:r>
      <w:r>
        <w:t xml:space="preserve"> (and not only to derive it from </w:t>
      </w:r>
      <w:r>
        <w:rPr>
          <w:rFonts w:hint="cs"/>
          <w:rtl/>
        </w:rPr>
        <w:t>כתובים</w:t>
      </w:r>
      <w:r>
        <w:t>).</w:t>
      </w:r>
    </w:p>
  </w:footnote>
  <w:footnote w:id="11">
    <w:p w:rsidR="001E23BE" w:rsidRDefault="001E23BE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However by </w:t>
      </w:r>
      <w:r>
        <w:rPr>
          <w:rFonts w:hint="cs"/>
          <w:rtl/>
        </w:rPr>
        <w:t>בועז</w:t>
      </w:r>
      <w:r>
        <w:t xml:space="preserve"> it does indicate </w:t>
      </w:r>
      <w:r>
        <w:rPr>
          <w:rFonts w:hint="cs"/>
          <w:rtl/>
        </w:rPr>
        <w:t>ברכת חתנים</w:t>
      </w:r>
      <w:r>
        <w:t xml:space="preserve"> as the </w:t>
      </w:r>
      <w:r>
        <w:rPr>
          <w:rFonts w:hint="cs"/>
          <w:rtl/>
        </w:rPr>
        <w:t>גמרא</w:t>
      </w:r>
      <w:r>
        <w:t xml:space="preserve"> states later, if it was merely for the </w:t>
      </w:r>
      <w:r>
        <w:rPr>
          <w:rFonts w:hint="cs"/>
          <w:rtl/>
        </w:rPr>
        <w:t>דרשה</w:t>
      </w:r>
      <w:r>
        <w:t xml:space="preserve">, we do not require ten people, so it must be for </w:t>
      </w:r>
      <w:r>
        <w:rPr>
          <w:rFonts w:hint="cs"/>
          <w:rtl/>
        </w:rPr>
        <w:t>ברכת חתנים</w:t>
      </w:r>
      <w:r>
        <w:t>.</w:t>
      </w:r>
    </w:p>
  </w:footnote>
  <w:footnote w:id="12">
    <w:p w:rsidR="00714FB9" w:rsidRDefault="00714FB9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5.</w:t>
      </w:r>
    </w:p>
  </w:footnote>
  <w:footnote w:id="13">
    <w:p w:rsidR="00714FB9" w:rsidRDefault="00714FB9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כסא שלמה</w:t>
      </w:r>
      <w:r>
        <w:t>.</w:t>
      </w:r>
    </w:p>
  </w:footnote>
  <w:footnote w:id="14">
    <w:p w:rsidR="00276DD2" w:rsidRDefault="00276DD2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9.</w:t>
      </w:r>
    </w:p>
  </w:footnote>
  <w:footnote w:id="15">
    <w:p w:rsidR="006133D4" w:rsidRDefault="006133D4" w:rsidP="0091698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כסא שלמה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4A1" w:rsidRPr="00AD74A1" w:rsidRDefault="00AD74A1" w:rsidP="00AD74A1">
    <w:pPr>
      <w:pStyle w:val="Header"/>
      <w:bidi/>
      <w:rPr>
        <w:sz w:val="24"/>
        <w:szCs w:val="24"/>
      </w:rPr>
    </w:pPr>
    <w:r w:rsidRPr="00AD74A1">
      <w:rPr>
        <w:rFonts w:hint="cs"/>
        <w:sz w:val="24"/>
        <w:szCs w:val="24"/>
        <w:rtl/>
      </w:rPr>
      <w:t>בס"ד. כתובות ז,ב תוס' ד"ה שנאמר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DB"/>
    <w:rsid w:val="001E23BE"/>
    <w:rsid w:val="00276DD2"/>
    <w:rsid w:val="003D4453"/>
    <w:rsid w:val="00411798"/>
    <w:rsid w:val="00505540"/>
    <w:rsid w:val="00557CA3"/>
    <w:rsid w:val="0060295F"/>
    <w:rsid w:val="006133D4"/>
    <w:rsid w:val="00714FB9"/>
    <w:rsid w:val="00851726"/>
    <w:rsid w:val="0091698D"/>
    <w:rsid w:val="009B4A7B"/>
    <w:rsid w:val="00A237DB"/>
    <w:rsid w:val="00AA1168"/>
    <w:rsid w:val="00AD74A1"/>
    <w:rsid w:val="00B30796"/>
    <w:rsid w:val="00BA1C83"/>
    <w:rsid w:val="00BE7F6F"/>
    <w:rsid w:val="00EA6757"/>
    <w:rsid w:val="00F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A1"/>
  </w:style>
  <w:style w:type="paragraph" w:styleId="Footer">
    <w:name w:val="footer"/>
    <w:basedOn w:val="Normal"/>
    <w:link w:val="FooterChar"/>
    <w:uiPriority w:val="99"/>
    <w:unhideWhenUsed/>
    <w:rsid w:val="00AD74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A1"/>
  </w:style>
  <w:style w:type="paragraph" w:styleId="FootnoteText">
    <w:name w:val="footnote text"/>
    <w:basedOn w:val="Normal"/>
    <w:link w:val="FootnoteTextChar"/>
    <w:uiPriority w:val="99"/>
    <w:semiHidden/>
    <w:unhideWhenUsed/>
    <w:rsid w:val="00BA1C8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C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276D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A1"/>
  </w:style>
  <w:style w:type="paragraph" w:styleId="Footer">
    <w:name w:val="footer"/>
    <w:basedOn w:val="Normal"/>
    <w:link w:val="FooterChar"/>
    <w:uiPriority w:val="99"/>
    <w:unhideWhenUsed/>
    <w:rsid w:val="00AD74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A1"/>
  </w:style>
  <w:style w:type="paragraph" w:styleId="FootnoteText">
    <w:name w:val="footnote text"/>
    <w:basedOn w:val="Normal"/>
    <w:link w:val="FootnoteTextChar"/>
    <w:uiPriority w:val="99"/>
    <w:semiHidden/>
    <w:unhideWhenUsed/>
    <w:rsid w:val="00BA1C8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C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C83"/>
    <w:rPr>
      <w:vertAlign w:val="superscript"/>
    </w:rPr>
  </w:style>
  <w:style w:type="paragraph" w:styleId="ListParagraph">
    <w:name w:val="List Paragraph"/>
    <w:basedOn w:val="Normal"/>
    <w:uiPriority w:val="34"/>
    <w:qFormat/>
    <w:rsid w:val="00276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cp:lastPrinted>2016-05-10T01:40:00Z</cp:lastPrinted>
  <dcterms:created xsi:type="dcterms:W3CDTF">2016-02-01T18:23:00Z</dcterms:created>
  <dcterms:modified xsi:type="dcterms:W3CDTF">2017-03-29T23:02:00Z</dcterms:modified>
</cp:coreProperties>
</file>