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CEC" w:rsidRPr="00F63CEC" w:rsidRDefault="003448CA" w:rsidP="00D04A0B">
      <w:pPr>
        <w:bidi/>
        <w:rPr>
          <w:b w:val="0"/>
          <w:bCs w:val="0"/>
          <w:rtl/>
        </w:rPr>
      </w:pPr>
      <w:r w:rsidRPr="00F63CEC">
        <w:rPr>
          <w:sz w:val="36"/>
          <w:szCs w:val="36"/>
          <w:rtl/>
        </w:rPr>
        <w:t>אלא</w:t>
      </w:r>
      <w:r w:rsidR="00F63CEC">
        <w:rPr>
          <w:rFonts w:hint="cs"/>
          <w:rtl/>
        </w:rPr>
        <w:t xml:space="preserve"> </w:t>
      </w:r>
      <w:r w:rsidRPr="00F63CEC">
        <w:rPr>
          <w:sz w:val="32"/>
          <w:szCs w:val="32"/>
          <w:rtl/>
        </w:rPr>
        <w:t>כי קאמר ר</w:t>
      </w:r>
      <w:r w:rsidR="00F63CEC">
        <w:rPr>
          <w:rFonts w:hint="cs"/>
          <w:sz w:val="32"/>
          <w:szCs w:val="32"/>
          <w:rtl/>
        </w:rPr>
        <w:t>בי</w:t>
      </w:r>
      <w:r w:rsidRPr="00F63CEC">
        <w:rPr>
          <w:sz w:val="32"/>
          <w:szCs w:val="32"/>
          <w:rtl/>
        </w:rPr>
        <w:t xml:space="preserve"> יוחנן ברחבה</w:t>
      </w:r>
      <w:r w:rsidR="00D04A0B">
        <w:rPr>
          <w:rFonts w:hint="cs"/>
          <w:sz w:val="32"/>
          <w:szCs w:val="32"/>
          <w:rtl/>
        </w:rPr>
        <w:t xml:space="preserve"> </w:t>
      </w:r>
      <w:r w:rsidR="00D04A0B">
        <w:rPr>
          <w:sz w:val="32"/>
          <w:szCs w:val="32"/>
          <w:rtl/>
        </w:rPr>
        <w:t>–</w:t>
      </w:r>
      <w:r w:rsidR="00D04A0B">
        <w:rPr>
          <w:rFonts w:hint="cs"/>
          <w:sz w:val="32"/>
          <w:szCs w:val="32"/>
          <w:rtl/>
        </w:rPr>
        <w:t xml:space="preserve"> </w:t>
      </w:r>
      <w:r w:rsidR="00D04A0B">
        <w:rPr>
          <w:sz w:val="32"/>
          <w:szCs w:val="32"/>
        </w:rPr>
        <w:t xml:space="preserve"> rule; by the plaza </w:t>
      </w:r>
      <w:r w:rsidR="00D04A0B">
        <w:rPr>
          <w:sz w:val="16"/>
          <w:szCs w:val="16"/>
        </w:rPr>
        <w:t xml:space="preserve"> </w:t>
      </w:r>
      <w:r w:rsidR="00D04A0B">
        <w:rPr>
          <w:sz w:val="32"/>
          <w:szCs w:val="32"/>
        </w:rPr>
        <w:t xml:space="preserve"> </w:t>
      </w:r>
      <w:r w:rsidR="00D04A0B">
        <w:rPr>
          <w:rFonts w:hint="cs"/>
          <w:sz w:val="32"/>
          <w:szCs w:val="32"/>
          <w:rtl/>
        </w:rPr>
        <w:t>ר"י</w:t>
      </w:r>
      <w:r w:rsidR="00D04A0B">
        <w:rPr>
          <w:sz w:val="32"/>
          <w:szCs w:val="32"/>
        </w:rPr>
        <w:t xml:space="preserve">Rather when did </w:t>
      </w:r>
    </w:p>
    <w:p w:rsidR="00F63CEC" w:rsidRDefault="00F63CEC" w:rsidP="00F63CEC">
      <w:pPr>
        <w:bidi/>
        <w:rPr>
          <w:b w:val="0"/>
          <w:bCs w:val="0"/>
          <w:sz w:val="24"/>
          <w:szCs w:val="24"/>
          <w:rtl/>
        </w:rPr>
      </w:pPr>
    </w:p>
    <w:p w:rsidR="00F63CEC" w:rsidRPr="00F63CEC" w:rsidRDefault="00F63CEC" w:rsidP="00F63CEC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F63CEC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F63CEC" w:rsidRPr="00F63CEC" w:rsidRDefault="00D04A0B" w:rsidP="00D04A0B">
      <w:pPr>
        <w:rPr>
          <w:b w:val="0"/>
          <w:bCs w:val="0"/>
        </w:rPr>
      </w:pPr>
      <w:r>
        <w:rPr>
          <w:b w:val="0"/>
          <w:bCs w:val="0"/>
        </w:rPr>
        <w:t xml:space="preserve">In our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there are three statements of </w:t>
      </w:r>
      <w:r>
        <w:rPr>
          <w:rFonts w:hint="cs"/>
          <w:b w:val="0"/>
          <w:bCs w:val="0"/>
          <w:rtl/>
        </w:rPr>
        <w:t>ר' יוחנן</w:t>
      </w:r>
      <w:r>
        <w:rPr>
          <w:b w:val="0"/>
          <w:bCs w:val="0"/>
        </w:rPr>
        <w:t xml:space="preserve"> (in the following order); a) </w:t>
      </w:r>
      <w:r>
        <w:rPr>
          <w:rFonts w:hint="cs"/>
          <w:b w:val="0"/>
          <w:bCs w:val="0"/>
          <w:rtl/>
        </w:rPr>
        <w:t>ואין אבלים מן המנין</w:t>
      </w:r>
      <w:r>
        <w:rPr>
          <w:b w:val="0"/>
          <w:bCs w:val="0"/>
        </w:rPr>
        <w:t xml:space="preserve">, b) </w:t>
      </w:r>
      <w:r>
        <w:rPr>
          <w:rFonts w:hint="cs"/>
          <w:b w:val="0"/>
          <w:bCs w:val="0"/>
          <w:rtl/>
        </w:rPr>
        <w:t>ברכת אבלים בעשרה ואין אבלים מן המנין</w:t>
      </w:r>
      <w:r>
        <w:rPr>
          <w:b w:val="0"/>
          <w:bCs w:val="0"/>
        </w:rPr>
        <w:t xml:space="preserve">, and c) </w:t>
      </w:r>
      <w:r>
        <w:rPr>
          <w:rFonts w:hint="cs"/>
          <w:b w:val="0"/>
          <w:bCs w:val="0"/>
          <w:rtl/>
        </w:rPr>
        <w:t>ברכת אבלים בי' כל שבעה ואין אבלים מן המנין</w:t>
      </w:r>
      <w:r>
        <w:rPr>
          <w:b w:val="0"/>
          <w:bCs w:val="0"/>
        </w:rPr>
        <w:t xml:space="preserve">. Initially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assumed that ‘a’ was said regarding </w:t>
      </w:r>
      <w:r>
        <w:rPr>
          <w:rFonts w:hint="cs"/>
          <w:b w:val="0"/>
          <w:bCs w:val="0"/>
          <w:rtl/>
        </w:rPr>
        <w:t>שורה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rejected that because of ‘b’ (where it mentions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and there is no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by the </w:t>
      </w:r>
      <w:r>
        <w:rPr>
          <w:rFonts w:hint="cs"/>
          <w:b w:val="0"/>
          <w:bCs w:val="0"/>
          <w:rtl/>
        </w:rPr>
        <w:t>שורה</w:t>
      </w:r>
      <w:r>
        <w:rPr>
          <w:b w:val="0"/>
          <w:bCs w:val="0"/>
        </w:rPr>
        <w:t xml:space="preserve">).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answered (instead) the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was discussing </w:t>
      </w:r>
      <w:r>
        <w:rPr>
          <w:rFonts w:hint="cs"/>
          <w:b w:val="0"/>
          <w:bCs w:val="0"/>
          <w:rtl/>
        </w:rPr>
        <w:t>רחבה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There are two </w:t>
      </w:r>
      <w:r>
        <w:rPr>
          <w:rFonts w:hint="cs"/>
          <w:b w:val="0"/>
          <w:bCs w:val="0"/>
          <w:rtl/>
        </w:rPr>
        <w:t>גירסאות</w:t>
      </w:r>
      <w:r>
        <w:rPr>
          <w:b w:val="0"/>
          <w:bCs w:val="0"/>
        </w:rPr>
        <w:t xml:space="preserve">, whether we are </w:t>
      </w:r>
      <w:r>
        <w:rPr>
          <w:rFonts w:hint="cs"/>
          <w:b w:val="0"/>
          <w:bCs w:val="0"/>
          <w:rtl/>
        </w:rPr>
        <w:t>גורס 'אלא'</w:t>
      </w:r>
      <w:r>
        <w:rPr>
          <w:b w:val="0"/>
          <w:bCs w:val="0"/>
        </w:rPr>
        <w:t xml:space="preserve"> (as in the </w:t>
      </w:r>
      <w:r>
        <w:rPr>
          <w:rFonts w:hint="cs"/>
          <w:b w:val="0"/>
          <w:bCs w:val="0"/>
          <w:rtl/>
        </w:rPr>
        <w:t>ד"ה</w:t>
      </w:r>
      <w:r>
        <w:rPr>
          <w:b w:val="0"/>
          <w:bCs w:val="0"/>
        </w:rPr>
        <w:t xml:space="preserve"> of this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) or not.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both </w:t>
      </w:r>
      <w:r>
        <w:rPr>
          <w:rFonts w:hint="cs"/>
          <w:b w:val="0"/>
          <w:bCs w:val="0"/>
          <w:rtl/>
        </w:rPr>
        <w:t>גירסאות</w:t>
      </w:r>
      <w:r>
        <w:rPr>
          <w:b w:val="0"/>
          <w:bCs w:val="0"/>
        </w:rPr>
        <w:t>.</w:t>
      </w:r>
    </w:p>
    <w:p w:rsidR="00F63CEC" w:rsidRDefault="00F1411A" w:rsidP="00F1411A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</w:t>
      </w:r>
    </w:p>
    <w:p w:rsidR="00D04A0B" w:rsidRPr="00F1411A" w:rsidRDefault="003448CA" w:rsidP="00F1411A">
      <w:pPr>
        <w:bidi/>
        <w:rPr>
          <w:rFonts w:cs="David"/>
        </w:rPr>
      </w:pPr>
      <w:r w:rsidRPr="00F1411A">
        <w:rPr>
          <w:rFonts w:cs="David"/>
          <w:rtl/>
        </w:rPr>
        <w:t>אי גרסינן אלא</w:t>
      </w:r>
      <w:r w:rsidR="00033D1E" w:rsidRPr="00F1411A">
        <w:rPr>
          <w:rStyle w:val="FootnoteReference"/>
          <w:rFonts w:cs="David"/>
          <w:rtl/>
        </w:rPr>
        <w:footnoteReference w:id="2"/>
      </w:r>
      <w:r w:rsidRPr="00F1411A">
        <w:rPr>
          <w:rFonts w:cs="David"/>
          <w:rtl/>
        </w:rPr>
        <w:t xml:space="preserve"> משמע דההיא דלעיל נמי מעמיד ברחבה </w:t>
      </w:r>
      <w:r w:rsidR="00F1411A">
        <w:rPr>
          <w:rFonts w:cs="David" w:hint="cs"/>
          <w:rtl/>
        </w:rPr>
        <w:t>-</w:t>
      </w:r>
    </w:p>
    <w:p w:rsidR="00033D1E" w:rsidRDefault="00033D1E" w:rsidP="00896BB4">
      <w:r>
        <w:t>I</w:t>
      </w:r>
      <w:r w:rsidR="00896BB4">
        <w:t>f</w:t>
      </w:r>
      <w:bookmarkStart w:id="0" w:name="_GoBack"/>
      <w:bookmarkEnd w:id="0"/>
      <w:r>
        <w:t xml:space="preserve"> the text read </w:t>
      </w:r>
      <w:r>
        <w:rPr>
          <w:rFonts w:hint="cs"/>
          <w:rtl/>
        </w:rPr>
        <w:t>'אלא'</w:t>
      </w:r>
      <w:r>
        <w:t xml:space="preserve">, it indicates that the previous statement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(statement ‘a’; see ‘Overview’) </w:t>
      </w:r>
      <w:r>
        <w:t xml:space="preserve">is also discussing </w:t>
      </w:r>
      <w:r>
        <w:rPr>
          <w:rFonts w:hint="cs"/>
          <w:rtl/>
        </w:rPr>
        <w:t>רחבה</w:t>
      </w:r>
      <w:r>
        <w:t>.</w:t>
      </w:r>
    </w:p>
    <w:p w:rsidR="00033D1E" w:rsidRPr="00F1411A" w:rsidRDefault="00033D1E" w:rsidP="00033D1E">
      <w:pPr>
        <w:rPr>
          <w:sz w:val="24"/>
          <w:szCs w:val="24"/>
        </w:rPr>
      </w:pPr>
    </w:p>
    <w:p w:rsidR="00033D1E" w:rsidRPr="00F1411A" w:rsidRDefault="00033D1E" w:rsidP="00033D1E">
      <w:pPr>
        <w:rPr>
          <w:b w:val="0"/>
          <w:bCs w:val="0"/>
          <w:sz w:val="24"/>
          <w:szCs w:val="24"/>
        </w:rPr>
      </w:pPr>
      <w:r w:rsidRPr="00F1411A">
        <w:rPr>
          <w:rFonts w:hint="cs"/>
          <w:b w:val="0"/>
          <w:bCs w:val="0"/>
          <w:sz w:val="24"/>
          <w:szCs w:val="24"/>
          <w:rtl/>
        </w:rPr>
        <w:t>תוספות</w:t>
      </w:r>
      <w:r w:rsidRPr="00F1411A">
        <w:rPr>
          <w:b w:val="0"/>
          <w:bCs w:val="0"/>
          <w:sz w:val="24"/>
          <w:szCs w:val="24"/>
        </w:rPr>
        <w:t xml:space="preserve"> asks:</w:t>
      </w:r>
    </w:p>
    <w:p w:rsidR="00D04A0B" w:rsidRPr="00F1411A" w:rsidRDefault="003448CA" w:rsidP="00F1411A">
      <w:pPr>
        <w:bidi/>
        <w:rPr>
          <w:rFonts w:cs="David"/>
        </w:rPr>
      </w:pPr>
      <w:r w:rsidRPr="00F1411A">
        <w:rPr>
          <w:rFonts w:cs="David"/>
          <w:rtl/>
        </w:rPr>
        <w:t>ותימה למה הוצרכו תרי מילי דר</w:t>
      </w:r>
      <w:r w:rsidR="00D04A0B" w:rsidRPr="00F1411A">
        <w:rPr>
          <w:rFonts w:cs="David" w:hint="cs"/>
          <w:rtl/>
        </w:rPr>
        <w:t>בי</w:t>
      </w:r>
      <w:r w:rsidRPr="00F1411A">
        <w:rPr>
          <w:rFonts w:cs="David"/>
          <w:rtl/>
        </w:rPr>
        <w:t xml:space="preserve"> יוחנן ההיא דלעיל והך</w:t>
      </w:r>
      <w:r w:rsidR="00033D1E" w:rsidRPr="00F1411A">
        <w:rPr>
          <w:rStyle w:val="FootnoteReference"/>
          <w:rFonts w:cs="David"/>
          <w:rtl/>
        </w:rPr>
        <w:footnoteReference w:id="3"/>
      </w:r>
      <w:r w:rsidRPr="00F1411A">
        <w:rPr>
          <w:rFonts w:cs="David"/>
          <w:rtl/>
        </w:rPr>
        <w:t xml:space="preserve"> </w:t>
      </w:r>
      <w:r w:rsidR="00F1411A">
        <w:rPr>
          <w:rFonts w:cs="David" w:hint="cs"/>
          <w:rtl/>
        </w:rPr>
        <w:t>-</w:t>
      </w:r>
    </w:p>
    <w:p w:rsidR="00033D1E" w:rsidRPr="00F1411A" w:rsidRDefault="00033D1E" w:rsidP="00033D1E">
      <w:pPr>
        <w:rPr>
          <w:sz w:val="24"/>
          <w:szCs w:val="24"/>
        </w:rPr>
      </w:pPr>
      <w:r>
        <w:t xml:space="preserve">And it is astounding! Why are the two statements of </w:t>
      </w:r>
      <w:r>
        <w:rPr>
          <w:rFonts w:hint="cs"/>
          <w:rtl/>
        </w:rPr>
        <w:t>ר"י</w:t>
      </w:r>
      <w:r>
        <w:t xml:space="preserve"> necessary; the previous </w:t>
      </w:r>
      <w:r>
        <w:rPr>
          <w:b w:val="0"/>
          <w:bCs w:val="0"/>
        </w:rPr>
        <w:t xml:space="preserve">statement ‘a’, </w:t>
      </w:r>
      <w:r>
        <w:t xml:space="preserve">and this </w:t>
      </w:r>
      <w:r w:rsidRPr="00F1411A">
        <w:rPr>
          <w:b w:val="0"/>
          <w:bCs w:val="0"/>
          <w:sz w:val="24"/>
          <w:szCs w:val="24"/>
        </w:rPr>
        <w:t>statement ‘b’</w:t>
      </w:r>
      <w:r w:rsidR="00F1411A" w:rsidRPr="00F1411A">
        <w:rPr>
          <w:b w:val="0"/>
          <w:bCs w:val="0"/>
          <w:sz w:val="24"/>
          <w:szCs w:val="24"/>
        </w:rPr>
        <w:t xml:space="preserve">, since they both discussing </w:t>
      </w:r>
      <w:r w:rsidR="00F1411A" w:rsidRPr="00F1411A">
        <w:rPr>
          <w:rFonts w:hint="cs"/>
          <w:b w:val="0"/>
          <w:bCs w:val="0"/>
          <w:sz w:val="24"/>
          <w:szCs w:val="24"/>
          <w:rtl/>
        </w:rPr>
        <w:t>רחבה</w:t>
      </w:r>
      <w:r w:rsidRPr="00F1411A">
        <w:rPr>
          <w:b w:val="0"/>
          <w:bCs w:val="0"/>
          <w:sz w:val="24"/>
          <w:szCs w:val="24"/>
        </w:rPr>
        <w:t>?!</w:t>
      </w:r>
      <w:r w:rsidRPr="00F1411A">
        <w:rPr>
          <w:sz w:val="24"/>
          <w:szCs w:val="24"/>
        </w:rPr>
        <w:t xml:space="preserve"> </w:t>
      </w:r>
    </w:p>
    <w:p w:rsidR="00033D1E" w:rsidRPr="00F1411A" w:rsidRDefault="00033D1E" w:rsidP="00033D1E">
      <w:pPr>
        <w:rPr>
          <w:sz w:val="24"/>
          <w:szCs w:val="24"/>
        </w:rPr>
      </w:pPr>
    </w:p>
    <w:p w:rsidR="00033D1E" w:rsidRPr="00F1411A" w:rsidRDefault="00033D1E" w:rsidP="00033D1E">
      <w:pPr>
        <w:rPr>
          <w:b w:val="0"/>
          <w:bCs w:val="0"/>
          <w:sz w:val="24"/>
          <w:szCs w:val="24"/>
        </w:rPr>
      </w:pPr>
      <w:r w:rsidRPr="00F1411A">
        <w:rPr>
          <w:rFonts w:hint="cs"/>
          <w:b w:val="0"/>
          <w:bCs w:val="0"/>
          <w:sz w:val="24"/>
          <w:szCs w:val="24"/>
          <w:rtl/>
        </w:rPr>
        <w:t>תוספות</w:t>
      </w:r>
      <w:r w:rsidRPr="00F1411A">
        <w:rPr>
          <w:b w:val="0"/>
          <w:bCs w:val="0"/>
          <w:sz w:val="24"/>
          <w:szCs w:val="24"/>
        </w:rPr>
        <w:t xml:space="preserve"> answers:</w:t>
      </w:r>
    </w:p>
    <w:p w:rsidR="00D04A0B" w:rsidRPr="00F1411A" w:rsidRDefault="003448CA" w:rsidP="00F1411A">
      <w:pPr>
        <w:bidi/>
        <w:rPr>
          <w:rFonts w:cs="David"/>
        </w:rPr>
      </w:pPr>
      <w:r w:rsidRPr="00F1411A">
        <w:rPr>
          <w:rFonts w:cs="David"/>
          <w:rtl/>
        </w:rPr>
        <w:t>וצריך לומר דחדא מכלל חברתה אתמר</w:t>
      </w:r>
      <w:r w:rsidR="009B1FA9">
        <w:rPr>
          <w:rStyle w:val="FootnoteReference"/>
          <w:rFonts w:cs="David"/>
          <w:rtl/>
        </w:rPr>
        <w:footnoteReference w:id="4"/>
      </w:r>
      <w:r w:rsidRPr="00F1411A">
        <w:rPr>
          <w:rFonts w:cs="David"/>
          <w:rtl/>
        </w:rPr>
        <w:t xml:space="preserve"> ההיא דלעיל מכללא דהך</w:t>
      </w:r>
      <w:r w:rsidR="00033D1E" w:rsidRPr="00F1411A">
        <w:rPr>
          <w:rStyle w:val="FootnoteReference"/>
          <w:rFonts w:cs="David"/>
          <w:rtl/>
        </w:rPr>
        <w:footnoteReference w:id="5"/>
      </w:r>
      <w:r w:rsidRPr="00F1411A">
        <w:rPr>
          <w:rFonts w:cs="David"/>
          <w:rtl/>
        </w:rPr>
        <w:t xml:space="preserve"> </w:t>
      </w:r>
      <w:r w:rsidR="00F1411A">
        <w:rPr>
          <w:rFonts w:cs="David" w:hint="cs"/>
          <w:rtl/>
        </w:rPr>
        <w:t>-</w:t>
      </w:r>
    </w:p>
    <w:p w:rsidR="00033D1E" w:rsidRDefault="00033D1E" w:rsidP="00033D1E">
      <w:pPr>
        <w:rPr>
          <w:b w:val="0"/>
          <w:bCs w:val="0"/>
        </w:rPr>
      </w:pPr>
      <w:r>
        <w:t xml:space="preserve">And it is necessary to say </w:t>
      </w:r>
      <w:r>
        <w:rPr>
          <w:b w:val="0"/>
          <w:bCs w:val="0"/>
        </w:rPr>
        <w:t xml:space="preserve">(that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said only one statement [‘b’]</w:t>
      </w:r>
      <w:r w:rsidR="00F1747A">
        <w:rPr>
          <w:b w:val="0"/>
          <w:bCs w:val="0"/>
        </w:rPr>
        <w:t xml:space="preserve"> and)</w:t>
      </w:r>
      <w:r>
        <w:rPr>
          <w:b w:val="0"/>
          <w:bCs w:val="0"/>
        </w:rPr>
        <w:t xml:space="preserve">, </w:t>
      </w:r>
      <w:r>
        <w:t xml:space="preserve">that one statement was derived from the other; the previous one </w:t>
      </w:r>
      <w:r>
        <w:rPr>
          <w:b w:val="0"/>
          <w:bCs w:val="0"/>
        </w:rPr>
        <w:t xml:space="preserve">‘a’ </w:t>
      </w:r>
      <w:r>
        <w:t xml:space="preserve">was derived from this </w:t>
      </w:r>
      <w:r>
        <w:rPr>
          <w:b w:val="0"/>
          <w:bCs w:val="0"/>
        </w:rPr>
        <w:t>one, ’b’ –</w:t>
      </w:r>
    </w:p>
    <w:p w:rsidR="00033D1E" w:rsidRPr="009B1FA9" w:rsidRDefault="00033D1E" w:rsidP="00033D1E">
      <w:pPr>
        <w:rPr>
          <w:b w:val="0"/>
          <w:bCs w:val="0"/>
          <w:sz w:val="24"/>
          <w:szCs w:val="24"/>
        </w:rPr>
      </w:pPr>
    </w:p>
    <w:p w:rsidR="00033D1E" w:rsidRPr="009B1FA9" w:rsidRDefault="00033D1E" w:rsidP="00033D1E">
      <w:pPr>
        <w:rPr>
          <w:b w:val="0"/>
          <w:bCs w:val="0"/>
          <w:sz w:val="24"/>
          <w:szCs w:val="24"/>
        </w:rPr>
      </w:pPr>
      <w:r w:rsidRPr="009B1FA9">
        <w:rPr>
          <w:rFonts w:hint="cs"/>
          <w:b w:val="0"/>
          <w:bCs w:val="0"/>
          <w:sz w:val="24"/>
          <w:szCs w:val="24"/>
          <w:rtl/>
        </w:rPr>
        <w:t>תוספות</w:t>
      </w:r>
      <w:r w:rsidRPr="009B1FA9">
        <w:rPr>
          <w:b w:val="0"/>
          <w:bCs w:val="0"/>
          <w:sz w:val="24"/>
          <w:szCs w:val="24"/>
        </w:rPr>
        <w:t xml:space="preserve"> continues with the other </w:t>
      </w:r>
      <w:r w:rsidRPr="009B1FA9">
        <w:rPr>
          <w:rFonts w:hint="cs"/>
          <w:b w:val="0"/>
          <w:bCs w:val="0"/>
          <w:sz w:val="24"/>
          <w:szCs w:val="24"/>
          <w:rtl/>
        </w:rPr>
        <w:t>גירסא</w:t>
      </w:r>
      <w:r w:rsidRPr="009B1FA9">
        <w:rPr>
          <w:b w:val="0"/>
          <w:bCs w:val="0"/>
          <w:sz w:val="24"/>
          <w:szCs w:val="24"/>
        </w:rPr>
        <w:t>:</w:t>
      </w:r>
    </w:p>
    <w:p w:rsidR="00D04A0B" w:rsidRPr="009B1FA9" w:rsidRDefault="003448CA" w:rsidP="009B1FA9">
      <w:pPr>
        <w:widowControl w:val="0"/>
        <w:bidi/>
        <w:rPr>
          <w:rFonts w:cs="David"/>
        </w:rPr>
      </w:pPr>
      <w:r w:rsidRPr="009B1FA9">
        <w:rPr>
          <w:rFonts w:cs="David"/>
          <w:rtl/>
        </w:rPr>
        <w:t>אבל אי ל</w:t>
      </w:r>
      <w:r w:rsidR="00D04A0B" w:rsidRPr="009B1FA9">
        <w:rPr>
          <w:rFonts w:cs="David" w:hint="cs"/>
          <w:rtl/>
        </w:rPr>
        <w:t xml:space="preserve">א </w:t>
      </w:r>
      <w:r w:rsidRPr="009B1FA9">
        <w:rPr>
          <w:rFonts w:cs="David"/>
          <w:rtl/>
        </w:rPr>
        <w:t>ג</w:t>
      </w:r>
      <w:r w:rsidR="00D04A0B" w:rsidRPr="009B1FA9">
        <w:rPr>
          <w:rFonts w:cs="David" w:hint="cs"/>
          <w:rtl/>
        </w:rPr>
        <w:t>רסינן</w:t>
      </w:r>
      <w:r w:rsidRPr="009B1FA9">
        <w:rPr>
          <w:rFonts w:cs="David"/>
          <w:rtl/>
        </w:rPr>
        <w:t xml:space="preserve"> אלא ניחא דלעיל איירי בשורה והכא ברחבה בלא פנים חדשות </w:t>
      </w:r>
      <w:r w:rsidR="009B1FA9">
        <w:rPr>
          <w:rFonts w:cs="David" w:hint="cs"/>
          <w:rtl/>
        </w:rPr>
        <w:t>-</w:t>
      </w:r>
    </w:p>
    <w:p w:rsidR="00033D1E" w:rsidRPr="00B33CF8" w:rsidRDefault="00033D1E" w:rsidP="009B1FA9">
      <w:pPr>
        <w:widowControl w:val="0"/>
      </w:pPr>
      <w:r>
        <w:t xml:space="preserve">However if the text does not read </w:t>
      </w:r>
      <w:r>
        <w:rPr>
          <w:rFonts w:hint="cs"/>
          <w:rtl/>
        </w:rPr>
        <w:t>'אלא'</w:t>
      </w:r>
      <w:r>
        <w:t xml:space="preserve">, it is preferable, for previously </w:t>
      </w:r>
      <w:r w:rsidRPr="00033D1E">
        <w:rPr>
          <w:b w:val="0"/>
          <w:bCs w:val="0"/>
        </w:rPr>
        <w:t>[‘a’]</w:t>
      </w:r>
      <w:r>
        <w:rPr>
          <w:b w:val="0"/>
          <w:bCs w:val="0"/>
        </w:rPr>
        <w:t xml:space="preserve"> </w:t>
      </w:r>
      <w:r w:rsidR="00B33CF8">
        <w:t xml:space="preserve">is discussing </w:t>
      </w:r>
      <w:r w:rsidR="00B33CF8">
        <w:rPr>
          <w:rFonts w:hint="cs"/>
          <w:rtl/>
        </w:rPr>
        <w:t>שורה</w:t>
      </w:r>
      <w:r w:rsidR="00B33CF8">
        <w:t xml:space="preserve"> </w:t>
      </w:r>
      <w:r w:rsidR="00B33CF8">
        <w:rPr>
          <w:b w:val="0"/>
          <w:bCs w:val="0"/>
        </w:rPr>
        <w:t xml:space="preserve">that ten are required but </w:t>
      </w:r>
      <w:r w:rsidR="00B33CF8">
        <w:rPr>
          <w:rFonts w:hint="cs"/>
          <w:b w:val="0"/>
          <w:bCs w:val="0"/>
          <w:rtl/>
        </w:rPr>
        <w:t>אין אבלים מן המנ</w:t>
      </w:r>
      <w:r w:rsidR="009B1FA9">
        <w:rPr>
          <w:rFonts w:hint="cs"/>
          <w:b w:val="0"/>
          <w:bCs w:val="0"/>
          <w:rtl/>
        </w:rPr>
        <w:t>י</w:t>
      </w:r>
      <w:r w:rsidR="00B33CF8">
        <w:rPr>
          <w:rFonts w:hint="cs"/>
          <w:b w:val="0"/>
          <w:bCs w:val="0"/>
          <w:rtl/>
        </w:rPr>
        <w:t>ן</w:t>
      </w:r>
      <w:r w:rsidR="00B33CF8">
        <w:rPr>
          <w:b w:val="0"/>
          <w:bCs w:val="0"/>
        </w:rPr>
        <w:t xml:space="preserve">, </w:t>
      </w:r>
      <w:r w:rsidR="00B33CF8">
        <w:t xml:space="preserve">and here </w:t>
      </w:r>
      <w:r w:rsidR="00B33CF8">
        <w:rPr>
          <w:b w:val="0"/>
          <w:bCs w:val="0"/>
        </w:rPr>
        <w:t xml:space="preserve">[‘b’] we are </w:t>
      </w:r>
      <w:r w:rsidR="00B33CF8">
        <w:rPr>
          <w:b w:val="0"/>
          <w:bCs w:val="0"/>
        </w:rPr>
        <w:lastRenderedPageBreak/>
        <w:t xml:space="preserve">discussing </w:t>
      </w:r>
      <w:r w:rsidR="00B33CF8">
        <w:rPr>
          <w:rFonts w:hint="cs"/>
          <w:rtl/>
        </w:rPr>
        <w:t>רחבה</w:t>
      </w:r>
      <w:r w:rsidR="00B33CF8">
        <w:t xml:space="preserve"> without </w:t>
      </w:r>
      <w:r w:rsidR="00B33CF8">
        <w:rPr>
          <w:rFonts w:hint="cs"/>
          <w:rtl/>
        </w:rPr>
        <w:t>פנים חדשות</w:t>
      </w:r>
      <w:r w:rsidR="00B33CF8">
        <w:t xml:space="preserve"> -</w:t>
      </w:r>
    </w:p>
    <w:p w:rsidR="00D04A0B" w:rsidRPr="009B1FA9" w:rsidRDefault="003448CA" w:rsidP="009B1FA9">
      <w:pPr>
        <w:widowControl w:val="0"/>
        <w:bidi/>
        <w:rPr>
          <w:rFonts w:cs="David"/>
        </w:rPr>
      </w:pPr>
      <w:r w:rsidRPr="009B1FA9">
        <w:rPr>
          <w:rFonts w:cs="David"/>
          <w:rtl/>
        </w:rPr>
        <w:t>ומימרא שלישית של רבי יוחנן הוצרך להשמיענו</w:t>
      </w:r>
      <w:r w:rsidR="00EB778E" w:rsidRPr="009B1FA9">
        <w:rPr>
          <w:rStyle w:val="FootnoteReference"/>
          <w:rFonts w:cs="David"/>
          <w:rtl/>
        </w:rPr>
        <w:footnoteReference w:id="6"/>
      </w:r>
      <w:r w:rsidRPr="009B1FA9">
        <w:rPr>
          <w:rFonts w:cs="David"/>
          <w:rtl/>
        </w:rPr>
        <w:t xml:space="preserve"> דבפנים חדשות אין אבלים מן המנין</w:t>
      </w:r>
      <w:r w:rsidR="00F1747A" w:rsidRPr="009B1FA9">
        <w:rPr>
          <w:rStyle w:val="FootnoteReference"/>
          <w:rFonts w:cs="David"/>
          <w:rtl/>
        </w:rPr>
        <w:footnoteReference w:id="7"/>
      </w:r>
      <w:r w:rsidRPr="009B1FA9">
        <w:rPr>
          <w:rFonts w:cs="David"/>
          <w:rtl/>
        </w:rPr>
        <w:t xml:space="preserve"> </w:t>
      </w:r>
      <w:r w:rsidR="00D04A0B" w:rsidRPr="009B1FA9">
        <w:rPr>
          <w:rFonts w:cs="David"/>
          <w:rtl/>
        </w:rPr>
        <w:t>–</w:t>
      </w:r>
    </w:p>
    <w:p w:rsidR="00B33CF8" w:rsidRPr="00B33CF8" w:rsidRDefault="00B33CF8" w:rsidP="009B1FA9">
      <w:pPr>
        <w:widowControl w:val="0"/>
      </w:pPr>
      <w:r>
        <w:t xml:space="preserve">And the third statement of </w:t>
      </w:r>
      <w:r>
        <w:rPr>
          <w:rFonts w:hint="cs"/>
          <w:rtl/>
        </w:rPr>
        <w:t>ר"י</w:t>
      </w:r>
      <w:r>
        <w:t xml:space="preserve"> </w:t>
      </w:r>
      <w:r>
        <w:rPr>
          <w:b w:val="0"/>
          <w:bCs w:val="0"/>
        </w:rPr>
        <w:t xml:space="preserve">[‘c’] </w:t>
      </w:r>
      <w:r>
        <w:t xml:space="preserve">was necessary to inform us that </w:t>
      </w:r>
      <w:r>
        <w:rPr>
          <w:b w:val="0"/>
          <w:bCs w:val="0"/>
        </w:rPr>
        <w:t xml:space="preserve">(even) </w:t>
      </w:r>
      <w:r>
        <w:t xml:space="preserve">by </w:t>
      </w:r>
      <w:r>
        <w:rPr>
          <w:rFonts w:hint="cs"/>
          <w:rtl/>
        </w:rPr>
        <w:t>פנים חדשות</w:t>
      </w:r>
      <w:r>
        <w:t xml:space="preserve"> the </w:t>
      </w:r>
      <w:r>
        <w:rPr>
          <w:rFonts w:hint="cs"/>
          <w:rtl/>
        </w:rPr>
        <w:t>אבלים</w:t>
      </w:r>
      <w:r>
        <w:t xml:space="preserve"> are not </w:t>
      </w:r>
      <w:r>
        <w:rPr>
          <w:rFonts w:hint="cs"/>
          <w:rtl/>
        </w:rPr>
        <w:t>מן המנין</w:t>
      </w:r>
      <w:r>
        <w:t xml:space="preserve"> -</w:t>
      </w:r>
    </w:p>
    <w:p w:rsidR="00D04A0B" w:rsidRPr="009B1FA9" w:rsidRDefault="003448CA" w:rsidP="009B1FA9">
      <w:pPr>
        <w:bidi/>
        <w:rPr>
          <w:rFonts w:cs="David"/>
        </w:rPr>
      </w:pPr>
      <w:r w:rsidRPr="009B1FA9">
        <w:rPr>
          <w:rFonts w:cs="David"/>
          <w:rtl/>
        </w:rPr>
        <w:t>ואי נקט</w:t>
      </w:r>
      <w:r w:rsidR="00EB778E" w:rsidRPr="009B1FA9">
        <w:rPr>
          <w:rStyle w:val="FootnoteReference"/>
          <w:rFonts w:cs="David"/>
          <w:rtl/>
        </w:rPr>
        <w:footnoteReference w:id="8"/>
      </w:r>
      <w:r w:rsidRPr="009B1FA9">
        <w:rPr>
          <w:rFonts w:cs="David"/>
          <w:rtl/>
        </w:rPr>
        <w:t xml:space="preserve"> ההיא</w:t>
      </w:r>
      <w:r w:rsidR="00F1411A" w:rsidRPr="009B1FA9">
        <w:rPr>
          <w:rStyle w:val="FootnoteReference"/>
          <w:rFonts w:cs="David"/>
          <w:rtl/>
        </w:rPr>
        <w:footnoteReference w:id="9"/>
      </w:r>
      <w:r w:rsidRPr="009B1FA9">
        <w:rPr>
          <w:rFonts w:cs="David"/>
          <w:rtl/>
        </w:rPr>
        <w:t xml:space="preserve"> ה</w:t>
      </w:r>
      <w:r w:rsidR="00D04A0B" w:rsidRPr="009B1FA9">
        <w:rPr>
          <w:rFonts w:cs="David" w:hint="cs"/>
          <w:rtl/>
        </w:rPr>
        <w:t xml:space="preserve">וה </w:t>
      </w:r>
      <w:r w:rsidRPr="009B1FA9">
        <w:rPr>
          <w:rFonts w:cs="David"/>
          <w:rtl/>
        </w:rPr>
        <w:t>א</w:t>
      </w:r>
      <w:r w:rsidR="00D04A0B" w:rsidRPr="009B1FA9">
        <w:rPr>
          <w:rFonts w:cs="David" w:hint="cs"/>
          <w:rtl/>
        </w:rPr>
        <w:t>מינא</w:t>
      </w:r>
      <w:r w:rsidRPr="009B1FA9">
        <w:rPr>
          <w:rFonts w:cs="David"/>
          <w:rtl/>
        </w:rPr>
        <w:t xml:space="preserve"> איפכא </w:t>
      </w:r>
      <w:r w:rsidR="009B1FA9">
        <w:rPr>
          <w:rFonts w:cs="David" w:hint="cs"/>
          <w:rtl/>
        </w:rPr>
        <w:t>-</w:t>
      </w:r>
    </w:p>
    <w:p w:rsidR="00B33CF8" w:rsidRPr="00B33CF8" w:rsidRDefault="00B33CF8" w:rsidP="00B33CF8">
      <w:pPr>
        <w:rPr>
          <w:rtl/>
        </w:rPr>
      </w:pPr>
      <w:r>
        <w:t xml:space="preserve">And if it would </w:t>
      </w:r>
      <w:r>
        <w:rPr>
          <w:b w:val="0"/>
          <w:bCs w:val="0"/>
        </w:rPr>
        <w:t xml:space="preserve">only </w:t>
      </w:r>
      <w:r>
        <w:t xml:space="preserve">mention that one </w:t>
      </w:r>
      <w:r>
        <w:rPr>
          <w:b w:val="0"/>
          <w:bCs w:val="0"/>
        </w:rPr>
        <w:t xml:space="preserve">[‘c’], </w:t>
      </w:r>
      <w:r>
        <w:t>I may have said the opposite,</w:t>
      </w:r>
      <w:r>
        <w:rPr>
          <w:b w:val="0"/>
          <w:bCs w:val="0"/>
        </w:rPr>
        <w:t xml:space="preserve"> that</w:t>
      </w:r>
      <w:r>
        <w:t xml:space="preserve"> -</w:t>
      </w:r>
    </w:p>
    <w:p w:rsidR="003448CA" w:rsidRPr="009B1FA9" w:rsidRDefault="003448CA" w:rsidP="00D04A0B">
      <w:pPr>
        <w:bidi/>
        <w:rPr>
          <w:rFonts w:cs="David"/>
        </w:rPr>
      </w:pPr>
      <w:r w:rsidRPr="009B1FA9">
        <w:rPr>
          <w:rFonts w:cs="David"/>
          <w:rtl/>
        </w:rPr>
        <w:t>דוקא מיום ראשון ואילך אבל ביום ראשון שייכי</w:t>
      </w:r>
      <w:r w:rsidR="00032AD0">
        <w:rPr>
          <w:rStyle w:val="FootnoteReference"/>
          <w:rFonts w:cs="David"/>
          <w:rtl/>
        </w:rPr>
        <w:footnoteReference w:id="10"/>
      </w:r>
      <w:r w:rsidRPr="009B1FA9">
        <w:rPr>
          <w:rFonts w:cs="David"/>
          <w:rtl/>
        </w:rPr>
        <w:t xml:space="preserve"> טפי ומברכים לה בלא י</w:t>
      </w:r>
      <w:r w:rsidR="00D04A0B" w:rsidRPr="009B1FA9">
        <w:rPr>
          <w:rFonts w:cs="David" w:hint="cs"/>
          <w:rtl/>
        </w:rPr>
        <w:t>':</w:t>
      </w:r>
    </w:p>
    <w:p w:rsidR="00B33CF8" w:rsidRPr="009B1FA9" w:rsidRDefault="00B33CF8" w:rsidP="00500975">
      <w:pPr>
        <w:rPr>
          <w:b w:val="0"/>
          <w:bCs w:val="0"/>
          <w:sz w:val="24"/>
          <w:szCs w:val="24"/>
        </w:rPr>
      </w:pPr>
      <w:r>
        <w:t xml:space="preserve">Only from the first day onwards </w:t>
      </w:r>
      <w:r>
        <w:rPr>
          <w:b w:val="0"/>
          <w:bCs w:val="0"/>
        </w:rPr>
        <w:t xml:space="preserve">do we require ten besides the </w:t>
      </w:r>
      <w:r>
        <w:rPr>
          <w:rFonts w:hint="cs"/>
          <w:b w:val="0"/>
          <w:bCs w:val="0"/>
          <w:rtl/>
        </w:rPr>
        <w:t>אבלים</w:t>
      </w:r>
      <w:r>
        <w:rPr>
          <w:b w:val="0"/>
          <w:bCs w:val="0"/>
        </w:rPr>
        <w:t xml:space="preserve">, </w:t>
      </w:r>
      <w:r w:rsidRPr="00B33CF8">
        <w:t>however on the first day</w:t>
      </w:r>
      <w:r>
        <w:t xml:space="preserve"> the </w:t>
      </w:r>
      <w:r w:rsidRPr="00B33CF8">
        <w:rPr>
          <w:rFonts w:hint="cs"/>
          <w:b w:val="0"/>
          <w:bCs w:val="0"/>
          <w:rtl/>
        </w:rPr>
        <w:t>אבלים</w:t>
      </w:r>
      <w:r>
        <w:t xml:space="preserve"> have a greater connection and we can make this blessing without ten</w:t>
      </w:r>
      <w:r w:rsidR="00500975">
        <w:t xml:space="preserve"> </w:t>
      </w:r>
      <w:r w:rsidR="00500975" w:rsidRPr="009B1FA9">
        <w:rPr>
          <w:b w:val="0"/>
          <w:bCs w:val="0"/>
          <w:sz w:val="24"/>
          <w:szCs w:val="24"/>
        </w:rPr>
        <w:t>non mourners, but rather the mourner can be part of the ten</w:t>
      </w:r>
      <w:r w:rsidRPr="009B1FA9">
        <w:rPr>
          <w:sz w:val="24"/>
          <w:szCs w:val="24"/>
        </w:rPr>
        <w:t>.</w:t>
      </w:r>
      <w:r w:rsidR="00F1747A" w:rsidRPr="009B1FA9">
        <w:rPr>
          <w:rStyle w:val="FootnoteReference"/>
          <w:b w:val="0"/>
          <w:bCs w:val="0"/>
          <w:sz w:val="24"/>
          <w:szCs w:val="24"/>
        </w:rPr>
        <w:footnoteReference w:id="11"/>
      </w:r>
      <w:r w:rsidR="00500975" w:rsidRPr="009B1FA9">
        <w:rPr>
          <w:sz w:val="24"/>
          <w:szCs w:val="24"/>
        </w:rPr>
        <w:t xml:space="preserve"> </w:t>
      </w:r>
      <w:r w:rsidR="00500975" w:rsidRPr="009B1FA9">
        <w:rPr>
          <w:b w:val="0"/>
          <w:bCs w:val="0"/>
          <w:sz w:val="24"/>
          <w:szCs w:val="24"/>
        </w:rPr>
        <w:t xml:space="preserve">Therefore we have the second statement that even on the first day </w:t>
      </w:r>
      <w:r w:rsidR="00500975" w:rsidRPr="009B1FA9">
        <w:rPr>
          <w:rFonts w:hint="cs"/>
          <w:b w:val="0"/>
          <w:bCs w:val="0"/>
          <w:sz w:val="24"/>
          <w:szCs w:val="24"/>
          <w:rtl/>
        </w:rPr>
        <w:t>אין אבלים מן המנין</w:t>
      </w:r>
      <w:r w:rsidR="00500975" w:rsidRPr="009B1FA9">
        <w:rPr>
          <w:b w:val="0"/>
          <w:bCs w:val="0"/>
          <w:sz w:val="24"/>
          <w:szCs w:val="24"/>
        </w:rPr>
        <w:t>.</w:t>
      </w:r>
      <w:r w:rsidRPr="009B1FA9">
        <w:rPr>
          <w:b w:val="0"/>
          <w:bCs w:val="0"/>
          <w:sz w:val="24"/>
          <w:szCs w:val="24"/>
        </w:rPr>
        <w:t xml:space="preserve"> </w:t>
      </w:r>
    </w:p>
    <w:p w:rsidR="003D4453" w:rsidRPr="009B1FA9" w:rsidRDefault="003D4453" w:rsidP="003448CA">
      <w:pPr>
        <w:bidi/>
        <w:rPr>
          <w:sz w:val="24"/>
          <w:szCs w:val="24"/>
        </w:rPr>
      </w:pPr>
    </w:p>
    <w:p w:rsidR="00F63CEC" w:rsidRPr="00F63CEC" w:rsidRDefault="00F63CEC" w:rsidP="00F63CEC">
      <w:pPr>
        <w:rPr>
          <w:rFonts w:ascii="Copperplate Gothic Bold" w:hAnsi="Copperplate Gothic Bold"/>
          <w:b w:val="0"/>
          <w:bCs w:val="0"/>
          <w:u w:val="double"/>
        </w:rPr>
      </w:pPr>
      <w:r w:rsidRPr="00F63CEC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F63CEC" w:rsidRDefault="00500975" w:rsidP="00445464">
      <w:pPr>
        <w:rPr>
          <w:b w:val="0"/>
          <w:bCs w:val="0"/>
        </w:rPr>
      </w:pPr>
      <w:r>
        <w:rPr>
          <w:b w:val="0"/>
          <w:bCs w:val="0"/>
        </w:rPr>
        <w:t xml:space="preserve">If we are </w:t>
      </w:r>
      <w:r>
        <w:rPr>
          <w:rFonts w:hint="cs"/>
          <w:b w:val="0"/>
          <w:bCs w:val="0"/>
          <w:rtl/>
        </w:rPr>
        <w:t>גורס 'אלא'</w:t>
      </w:r>
      <w:r>
        <w:rPr>
          <w:b w:val="0"/>
          <w:bCs w:val="0"/>
        </w:rPr>
        <w:t xml:space="preserve">, there are two statements of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regarding </w:t>
      </w:r>
      <w:r>
        <w:rPr>
          <w:rFonts w:hint="cs"/>
          <w:b w:val="0"/>
          <w:bCs w:val="0"/>
          <w:rtl/>
        </w:rPr>
        <w:t>רחבה</w:t>
      </w:r>
      <w:r>
        <w:rPr>
          <w:b w:val="0"/>
          <w:bCs w:val="0"/>
        </w:rPr>
        <w:t xml:space="preserve">. If we are not </w:t>
      </w:r>
      <w:r>
        <w:rPr>
          <w:rFonts w:hint="cs"/>
          <w:b w:val="0"/>
          <w:bCs w:val="0"/>
          <w:rtl/>
        </w:rPr>
        <w:t>גורס 'אלא'</w:t>
      </w:r>
      <w:r>
        <w:rPr>
          <w:b w:val="0"/>
          <w:bCs w:val="0"/>
        </w:rPr>
        <w:t xml:space="preserve">, there are three statements, one regarding </w:t>
      </w:r>
      <w:r>
        <w:rPr>
          <w:rFonts w:hint="cs"/>
          <w:b w:val="0"/>
          <w:bCs w:val="0"/>
          <w:rtl/>
        </w:rPr>
        <w:t>שורה</w:t>
      </w:r>
      <w:r>
        <w:rPr>
          <w:b w:val="0"/>
          <w:bCs w:val="0"/>
        </w:rPr>
        <w:t xml:space="preserve">, one regarding </w:t>
      </w:r>
      <w:r>
        <w:rPr>
          <w:rFonts w:hint="cs"/>
          <w:b w:val="0"/>
          <w:bCs w:val="0"/>
          <w:rtl/>
        </w:rPr>
        <w:t>רחבה</w:t>
      </w:r>
      <w:r>
        <w:rPr>
          <w:b w:val="0"/>
          <w:bCs w:val="0"/>
        </w:rPr>
        <w:t xml:space="preserve"> without </w:t>
      </w:r>
      <w:r>
        <w:rPr>
          <w:rFonts w:hint="cs"/>
          <w:b w:val="0"/>
          <w:bCs w:val="0"/>
          <w:rtl/>
        </w:rPr>
        <w:t>פנים חדשות</w:t>
      </w:r>
      <w:r>
        <w:rPr>
          <w:b w:val="0"/>
          <w:bCs w:val="0"/>
        </w:rPr>
        <w:t xml:space="preserve"> and the last with </w:t>
      </w:r>
      <w:r>
        <w:rPr>
          <w:b w:val="0"/>
          <w:bCs w:val="0"/>
          <w:rtl/>
        </w:rPr>
        <w:t>פנים</w:t>
      </w:r>
      <w:r>
        <w:rPr>
          <w:rFonts w:hint="cs"/>
          <w:b w:val="0"/>
          <w:bCs w:val="0"/>
          <w:rtl/>
        </w:rPr>
        <w:t xml:space="preserve"> חדשות</w:t>
      </w:r>
      <w:r>
        <w:rPr>
          <w:b w:val="0"/>
          <w:bCs w:val="0"/>
        </w:rPr>
        <w:t xml:space="preserve">. </w:t>
      </w:r>
    </w:p>
    <w:p w:rsidR="00F63CEC" w:rsidRPr="009B1FA9" w:rsidRDefault="00F63CEC" w:rsidP="00F63CEC">
      <w:pPr>
        <w:rPr>
          <w:b w:val="0"/>
          <w:bCs w:val="0"/>
          <w:sz w:val="24"/>
          <w:szCs w:val="24"/>
        </w:rPr>
      </w:pPr>
    </w:p>
    <w:p w:rsidR="00F63CEC" w:rsidRPr="00F63CEC" w:rsidRDefault="00F63CEC" w:rsidP="00F63CEC">
      <w:pPr>
        <w:rPr>
          <w:rFonts w:ascii="Copperplate Gothic Bold" w:hAnsi="Copperplate Gothic Bold"/>
          <w:b w:val="0"/>
          <w:bCs w:val="0"/>
          <w:u w:val="double"/>
        </w:rPr>
      </w:pPr>
      <w:r w:rsidRPr="00F63CEC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9264E4" w:rsidRDefault="009264E4" w:rsidP="00F1411A">
      <w:pPr>
        <w:rPr>
          <w:b w:val="0"/>
          <w:bCs w:val="0"/>
        </w:rPr>
      </w:pPr>
      <w:r>
        <w:rPr>
          <w:b w:val="0"/>
          <w:bCs w:val="0"/>
        </w:rPr>
        <w:t xml:space="preserve">1. Why indeed are we </w:t>
      </w:r>
      <w:r>
        <w:rPr>
          <w:rFonts w:hint="cs"/>
          <w:b w:val="0"/>
          <w:bCs w:val="0"/>
          <w:rtl/>
        </w:rPr>
        <w:t>גורס 'אלא'</w:t>
      </w:r>
      <w:r>
        <w:rPr>
          <w:b w:val="0"/>
          <w:bCs w:val="0"/>
        </w:rPr>
        <w:t xml:space="preserve">, according to the first </w:t>
      </w:r>
      <w:r>
        <w:rPr>
          <w:rFonts w:hint="cs"/>
          <w:b w:val="0"/>
          <w:bCs w:val="0"/>
          <w:rtl/>
        </w:rPr>
        <w:t>גירסא</w:t>
      </w:r>
      <w:r>
        <w:rPr>
          <w:b w:val="0"/>
          <w:bCs w:val="0"/>
        </w:rPr>
        <w:t xml:space="preserve"> and have the issue of </w:t>
      </w:r>
      <w:r>
        <w:rPr>
          <w:rFonts w:hint="cs"/>
          <w:b w:val="0"/>
          <w:bCs w:val="0"/>
          <w:rtl/>
        </w:rPr>
        <w:t>חדא מכלל חברתה</w:t>
      </w:r>
      <w:r>
        <w:rPr>
          <w:b w:val="0"/>
          <w:bCs w:val="0"/>
        </w:rPr>
        <w:t>,</w:t>
      </w:r>
      <w:r>
        <w:rPr>
          <w:rStyle w:val="FootnoteReference"/>
          <w:b w:val="0"/>
          <w:bCs w:val="0"/>
        </w:rPr>
        <w:footnoteReference w:id="12"/>
      </w:r>
      <w:r>
        <w:rPr>
          <w:b w:val="0"/>
          <w:bCs w:val="0"/>
        </w:rPr>
        <w:t xml:space="preserve"> when we could have simply said like the second </w:t>
      </w:r>
      <w:r>
        <w:rPr>
          <w:rFonts w:hint="cs"/>
          <w:b w:val="0"/>
          <w:bCs w:val="0"/>
          <w:rtl/>
        </w:rPr>
        <w:t>גירסא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13"/>
      </w:r>
    </w:p>
    <w:p w:rsidR="009264E4" w:rsidRDefault="009264E4" w:rsidP="00F1411A">
      <w:pPr>
        <w:rPr>
          <w:b w:val="0"/>
          <w:bCs w:val="0"/>
        </w:rPr>
      </w:pPr>
    </w:p>
    <w:p w:rsidR="00F63CEC" w:rsidRPr="00032AD0" w:rsidRDefault="009264E4" w:rsidP="00F1411A">
      <w:pPr>
        <w:rPr>
          <w:b w:val="0"/>
          <w:bCs w:val="0"/>
          <w:spacing w:val="-4"/>
        </w:rPr>
      </w:pPr>
      <w:r w:rsidRPr="00032AD0">
        <w:rPr>
          <w:b w:val="0"/>
          <w:bCs w:val="0"/>
          <w:spacing w:val="-4"/>
        </w:rPr>
        <w:t xml:space="preserve">2. </w:t>
      </w:r>
      <w:r w:rsidR="00F1747A" w:rsidRPr="00032AD0">
        <w:rPr>
          <w:b w:val="0"/>
          <w:bCs w:val="0"/>
          <w:spacing w:val="-4"/>
        </w:rPr>
        <w:t xml:space="preserve">The </w:t>
      </w:r>
      <w:r w:rsidR="00F1747A" w:rsidRPr="00032AD0">
        <w:rPr>
          <w:rFonts w:hint="cs"/>
          <w:b w:val="0"/>
          <w:bCs w:val="0"/>
          <w:spacing w:val="-4"/>
          <w:rtl/>
        </w:rPr>
        <w:t>רש"ל</w:t>
      </w:r>
      <w:r w:rsidR="00F1747A" w:rsidRPr="00032AD0">
        <w:rPr>
          <w:b w:val="0"/>
          <w:bCs w:val="0"/>
          <w:spacing w:val="-4"/>
        </w:rPr>
        <w:t xml:space="preserve"> explains</w:t>
      </w:r>
      <w:r w:rsidR="009B1FA9" w:rsidRPr="00032AD0">
        <w:rPr>
          <w:rStyle w:val="FootnoteReference"/>
          <w:b w:val="0"/>
          <w:bCs w:val="0"/>
          <w:spacing w:val="-4"/>
        </w:rPr>
        <w:footnoteReference w:id="14"/>
      </w:r>
      <w:r w:rsidR="00F1747A" w:rsidRPr="00032AD0">
        <w:rPr>
          <w:b w:val="0"/>
          <w:bCs w:val="0"/>
          <w:spacing w:val="-4"/>
        </w:rPr>
        <w:t xml:space="preserve"> that when </w:t>
      </w:r>
      <w:r w:rsidR="00F1747A" w:rsidRPr="00032AD0">
        <w:rPr>
          <w:rFonts w:hint="cs"/>
          <w:b w:val="0"/>
          <w:bCs w:val="0"/>
          <w:spacing w:val="-4"/>
          <w:rtl/>
        </w:rPr>
        <w:t>תוספות</w:t>
      </w:r>
      <w:r w:rsidR="00F1747A" w:rsidRPr="00032AD0">
        <w:rPr>
          <w:b w:val="0"/>
          <w:bCs w:val="0"/>
          <w:spacing w:val="-4"/>
        </w:rPr>
        <w:t xml:space="preserve"> concluded; </w:t>
      </w:r>
      <w:r w:rsidR="00F1747A" w:rsidRPr="00032AD0">
        <w:rPr>
          <w:b w:val="0"/>
          <w:bCs w:val="0"/>
          <w:spacing w:val="-4"/>
          <w:rtl/>
        </w:rPr>
        <w:t>אבל ביום ראשון שייכי טפי ומברכים לה בלא י</w:t>
      </w:r>
      <w:r w:rsidR="00F1747A" w:rsidRPr="00032AD0">
        <w:rPr>
          <w:rFonts w:hint="cs"/>
          <w:b w:val="0"/>
          <w:bCs w:val="0"/>
          <w:spacing w:val="-4"/>
          <w:rtl/>
        </w:rPr>
        <w:t>'</w:t>
      </w:r>
      <w:r w:rsidR="00F1747A" w:rsidRPr="00032AD0">
        <w:rPr>
          <w:b w:val="0"/>
          <w:bCs w:val="0"/>
          <w:spacing w:val="-4"/>
        </w:rPr>
        <w:t xml:space="preserve">, he means that the </w:t>
      </w:r>
      <w:r w:rsidR="00F1747A" w:rsidRPr="00032AD0">
        <w:rPr>
          <w:rFonts w:hint="cs"/>
          <w:b w:val="0"/>
          <w:bCs w:val="0"/>
          <w:spacing w:val="-4"/>
          <w:rtl/>
        </w:rPr>
        <w:t>אבלים</w:t>
      </w:r>
      <w:r w:rsidR="00F1747A" w:rsidRPr="00032AD0">
        <w:rPr>
          <w:b w:val="0"/>
          <w:bCs w:val="0"/>
          <w:spacing w:val="-4"/>
        </w:rPr>
        <w:t xml:space="preserve"> are included. Why could he not learn </w:t>
      </w:r>
      <w:r w:rsidR="00F1411A" w:rsidRPr="00032AD0">
        <w:rPr>
          <w:rFonts w:hint="cs"/>
          <w:b w:val="0"/>
          <w:bCs w:val="0"/>
          <w:spacing w:val="-4"/>
          <w:rtl/>
        </w:rPr>
        <w:t>תוספות</w:t>
      </w:r>
      <w:r w:rsidR="00F1747A" w:rsidRPr="00032AD0">
        <w:rPr>
          <w:b w:val="0"/>
          <w:bCs w:val="0"/>
          <w:spacing w:val="-4"/>
        </w:rPr>
        <w:t xml:space="preserve"> simply that (we would have thought that) on the first day we do not require a </w:t>
      </w:r>
      <w:r w:rsidR="00F1747A" w:rsidRPr="00032AD0">
        <w:rPr>
          <w:rFonts w:hint="cs"/>
          <w:b w:val="0"/>
          <w:bCs w:val="0"/>
          <w:spacing w:val="-4"/>
          <w:rtl/>
        </w:rPr>
        <w:t>מנין</w:t>
      </w:r>
      <w:r w:rsidR="00F1747A" w:rsidRPr="00032AD0">
        <w:rPr>
          <w:b w:val="0"/>
          <w:bCs w:val="0"/>
          <w:spacing w:val="-4"/>
        </w:rPr>
        <w:t xml:space="preserve"> at all</w:t>
      </w:r>
      <w:r w:rsidR="00032AD0">
        <w:rPr>
          <w:rStyle w:val="FootnoteReference"/>
          <w:b w:val="0"/>
          <w:bCs w:val="0"/>
          <w:spacing w:val="-4"/>
        </w:rPr>
        <w:footnoteReference w:id="15"/>
      </w:r>
      <w:r w:rsidR="00F1411A" w:rsidRPr="00032AD0">
        <w:rPr>
          <w:b w:val="0"/>
          <w:bCs w:val="0"/>
          <w:spacing w:val="-4"/>
        </w:rPr>
        <w:t xml:space="preserve"> (however according to the s</w:t>
      </w:r>
      <w:r w:rsidR="00F1411A" w:rsidRPr="00032AD0">
        <w:rPr>
          <w:rFonts w:hint="cs"/>
          <w:b w:val="0"/>
          <w:bCs w:val="0"/>
          <w:spacing w:val="-4"/>
          <w:rtl/>
        </w:rPr>
        <w:t>רש"ל'</w:t>
      </w:r>
      <w:r w:rsidR="00F1411A" w:rsidRPr="00032AD0">
        <w:rPr>
          <w:b w:val="0"/>
          <w:bCs w:val="0"/>
          <w:spacing w:val="-4"/>
        </w:rPr>
        <w:t xml:space="preserve"> explanation, </w:t>
      </w:r>
      <w:r w:rsidR="00F1411A" w:rsidRPr="00032AD0">
        <w:rPr>
          <w:rFonts w:hint="cs"/>
          <w:b w:val="0"/>
          <w:bCs w:val="0"/>
          <w:spacing w:val="-4"/>
          <w:rtl/>
        </w:rPr>
        <w:t>תוס'</w:t>
      </w:r>
      <w:r w:rsidR="00F1411A" w:rsidRPr="00032AD0">
        <w:rPr>
          <w:b w:val="0"/>
          <w:bCs w:val="0"/>
          <w:spacing w:val="-4"/>
        </w:rPr>
        <w:t xml:space="preserve"> should have said </w:t>
      </w:r>
      <w:r w:rsidR="00F1411A" w:rsidRPr="00032AD0">
        <w:rPr>
          <w:rFonts w:hint="cs"/>
          <w:b w:val="0"/>
          <w:bCs w:val="0"/>
          <w:spacing w:val="-4"/>
          <w:rtl/>
        </w:rPr>
        <w:t>ואבלים מן המנין</w:t>
      </w:r>
      <w:r w:rsidR="00F1411A" w:rsidRPr="00032AD0">
        <w:rPr>
          <w:b w:val="0"/>
          <w:bCs w:val="0"/>
          <w:spacing w:val="-4"/>
        </w:rPr>
        <w:t>)</w:t>
      </w:r>
      <w:r w:rsidR="00F1747A" w:rsidRPr="00032AD0">
        <w:rPr>
          <w:b w:val="0"/>
          <w:bCs w:val="0"/>
          <w:spacing w:val="-4"/>
        </w:rPr>
        <w:t>?</w:t>
      </w:r>
      <w:r w:rsidR="00F1411A" w:rsidRPr="00032AD0">
        <w:rPr>
          <w:b w:val="0"/>
          <w:bCs w:val="0"/>
          <w:spacing w:val="-4"/>
        </w:rPr>
        <w:t>!</w:t>
      </w:r>
      <w:r w:rsidR="00667DC2" w:rsidRPr="00032AD0">
        <w:rPr>
          <w:rStyle w:val="FootnoteReference"/>
          <w:b w:val="0"/>
          <w:bCs w:val="0"/>
          <w:spacing w:val="-4"/>
        </w:rPr>
        <w:footnoteReference w:id="16"/>
      </w:r>
    </w:p>
    <w:sectPr w:rsidR="00F63CEC" w:rsidRPr="00032AD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167" w:rsidRDefault="002D3167" w:rsidP="00F63CEC">
      <w:pPr>
        <w:spacing w:line="240" w:lineRule="auto"/>
      </w:pPr>
      <w:r>
        <w:separator/>
      </w:r>
    </w:p>
  </w:endnote>
  <w:endnote w:type="continuationSeparator" w:id="0">
    <w:p w:rsidR="002D3167" w:rsidRDefault="002D3167" w:rsidP="00F63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5797830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F63CEC" w:rsidRPr="00F63CEC" w:rsidRDefault="00F63CEC" w:rsidP="00F63CEC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F63CEC">
          <w:rPr>
            <w:b w:val="0"/>
            <w:bCs w:val="0"/>
            <w:sz w:val="20"/>
            <w:szCs w:val="20"/>
          </w:rPr>
          <w:fldChar w:fldCharType="begin"/>
        </w:r>
        <w:r w:rsidRPr="00F63CEC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F63CEC">
          <w:rPr>
            <w:b w:val="0"/>
            <w:bCs w:val="0"/>
            <w:sz w:val="20"/>
            <w:szCs w:val="20"/>
          </w:rPr>
          <w:fldChar w:fldCharType="separate"/>
        </w:r>
        <w:r w:rsidR="00896BB4">
          <w:rPr>
            <w:b w:val="0"/>
            <w:bCs w:val="0"/>
            <w:noProof/>
            <w:sz w:val="20"/>
            <w:szCs w:val="20"/>
          </w:rPr>
          <w:t>1</w:t>
        </w:r>
        <w:r w:rsidRPr="00F63CEC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F63CEC" w:rsidRPr="00F63CEC" w:rsidRDefault="00F63CEC" w:rsidP="00F63CEC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F63CEC">
          <w:rPr>
            <w:b w:val="0"/>
            <w:bCs w:val="0"/>
            <w:noProof/>
            <w:sz w:val="16"/>
            <w:szCs w:val="16"/>
          </w:rPr>
          <w:t>TosfosIn English.com</w:t>
        </w:r>
      </w:p>
    </w:sdtContent>
  </w:sdt>
  <w:p w:rsidR="00F63CEC" w:rsidRDefault="00F63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167" w:rsidRDefault="002D3167" w:rsidP="00F63CEC">
      <w:pPr>
        <w:spacing w:line="240" w:lineRule="auto"/>
      </w:pPr>
      <w:r>
        <w:separator/>
      </w:r>
    </w:p>
  </w:footnote>
  <w:footnote w:type="continuationSeparator" w:id="0">
    <w:p w:rsidR="002D3167" w:rsidRDefault="002D3167" w:rsidP="00F63CEC">
      <w:pPr>
        <w:spacing w:line="240" w:lineRule="auto"/>
      </w:pPr>
      <w:r>
        <w:continuationSeparator/>
      </w:r>
    </w:p>
  </w:footnote>
  <w:footnote w:id="1">
    <w:p w:rsidR="00D04A0B" w:rsidRPr="009B1FA9" w:rsidRDefault="00D04A0B" w:rsidP="00667DC2">
      <w:pPr>
        <w:pStyle w:val="FootnoteText"/>
        <w:widowControl w:val="0"/>
        <w:spacing w:line="264" w:lineRule="auto"/>
        <w:rPr>
          <w:b w:val="0"/>
          <w:bCs w:val="0"/>
        </w:rPr>
      </w:pPr>
      <w:r w:rsidRPr="009B1FA9">
        <w:rPr>
          <w:rStyle w:val="FootnoteReference"/>
          <w:b w:val="0"/>
          <w:bCs w:val="0"/>
        </w:rPr>
        <w:footnoteRef/>
      </w:r>
      <w:r w:rsidRPr="009B1FA9">
        <w:rPr>
          <w:b w:val="0"/>
          <w:bCs w:val="0"/>
        </w:rPr>
        <w:t xml:space="preserve"> Statement ‘c’ of </w:t>
      </w:r>
      <w:r w:rsidRPr="009B1FA9">
        <w:rPr>
          <w:rFonts w:hint="cs"/>
          <w:b w:val="0"/>
          <w:bCs w:val="0"/>
          <w:rtl/>
        </w:rPr>
        <w:t>ר"י</w:t>
      </w:r>
      <w:r w:rsidR="00033D1E" w:rsidRPr="009B1FA9">
        <w:rPr>
          <w:b w:val="0"/>
          <w:bCs w:val="0"/>
        </w:rPr>
        <w:t xml:space="preserve"> is</w:t>
      </w:r>
      <w:r w:rsidRPr="009B1FA9">
        <w:rPr>
          <w:b w:val="0"/>
          <w:bCs w:val="0"/>
        </w:rPr>
        <w:t xml:space="preserve"> also </w:t>
      </w:r>
      <w:r w:rsidRPr="009B1FA9">
        <w:rPr>
          <w:rFonts w:hint="cs"/>
          <w:b w:val="0"/>
          <w:bCs w:val="0"/>
          <w:rtl/>
        </w:rPr>
        <w:t>ברחבה</w:t>
      </w:r>
      <w:r w:rsidRPr="009B1FA9">
        <w:rPr>
          <w:b w:val="0"/>
          <w:bCs w:val="0"/>
        </w:rPr>
        <w:t xml:space="preserve">, </w:t>
      </w:r>
      <w:r w:rsidR="00033D1E" w:rsidRPr="009B1FA9">
        <w:rPr>
          <w:b w:val="0"/>
          <w:bCs w:val="0"/>
        </w:rPr>
        <w:t xml:space="preserve">but </w:t>
      </w:r>
      <w:r w:rsidRPr="009B1FA9">
        <w:rPr>
          <w:b w:val="0"/>
          <w:bCs w:val="0"/>
        </w:rPr>
        <w:t xml:space="preserve">in a case of </w:t>
      </w:r>
      <w:r w:rsidRPr="009B1FA9">
        <w:rPr>
          <w:rFonts w:hint="cs"/>
          <w:b w:val="0"/>
          <w:bCs w:val="0"/>
          <w:rtl/>
        </w:rPr>
        <w:t>פנים חדשות</w:t>
      </w:r>
      <w:r w:rsidRPr="009B1FA9">
        <w:rPr>
          <w:b w:val="0"/>
          <w:bCs w:val="0"/>
        </w:rPr>
        <w:t>.</w:t>
      </w:r>
    </w:p>
  </w:footnote>
  <w:footnote w:id="2">
    <w:p w:rsidR="00033D1E" w:rsidRPr="009B1FA9" w:rsidRDefault="00033D1E" w:rsidP="00667DC2">
      <w:pPr>
        <w:pStyle w:val="FootnoteText"/>
        <w:widowControl w:val="0"/>
        <w:spacing w:line="264" w:lineRule="auto"/>
        <w:rPr>
          <w:b w:val="0"/>
          <w:bCs w:val="0"/>
        </w:rPr>
      </w:pPr>
      <w:r w:rsidRPr="009B1FA9">
        <w:rPr>
          <w:rStyle w:val="FootnoteReference"/>
          <w:b w:val="0"/>
          <w:bCs w:val="0"/>
        </w:rPr>
        <w:footnoteRef/>
      </w:r>
      <w:r w:rsidRPr="009B1FA9">
        <w:rPr>
          <w:b w:val="0"/>
          <w:bCs w:val="0"/>
        </w:rPr>
        <w:t xml:space="preserve"> The word </w:t>
      </w:r>
      <w:r w:rsidRPr="009B1FA9">
        <w:rPr>
          <w:rFonts w:hint="cs"/>
          <w:b w:val="0"/>
          <w:bCs w:val="0"/>
          <w:rtl/>
        </w:rPr>
        <w:t>'אלא'</w:t>
      </w:r>
      <w:r w:rsidRPr="009B1FA9">
        <w:rPr>
          <w:b w:val="0"/>
          <w:bCs w:val="0"/>
        </w:rPr>
        <w:t xml:space="preserve">, indicates that we are retracting any previous resolution. Therefore we retract the previous answer that statement ‘a’ of </w:t>
      </w:r>
      <w:r w:rsidRPr="009B1FA9">
        <w:rPr>
          <w:rFonts w:hint="cs"/>
          <w:b w:val="0"/>
          <w:bCs w:val="0"/>
          <w:rtl/>
        </w:rPr>
        <w:t>ר"י</w:t>
      </w:r>
      <w:r w:rsidRPr="009B1FA9">
        <w:rPr>
          <w:b w:val="0"/>
          <w:bCs w:val="0"/>
        </w:rPr>
        <w:t xml:space="preserve"> is regarding </w:t>
      </w:r>
      <w:r w:rsidRPr="009B1FA9">
        <w:rPr>
          <w:rFonts w:hint="cs"/>
          <w:b w:val="0"/>
          <w:bCs w:val="0"/>
          <w:rtl/>
        </w:rPr>
        <w:t>שורה</w:t>
      </w:r>
      <w:r w:rsidRPr="009B1FA9">
        <w:rPr>
          <w:b w:val="0"/>
          <w:bCs w:val="0"/>
        </w:rPr>
        <w:t xml:space="preserve">, since statement ‘b’ cannot be regarding </w:t>
      </w:r>
      <w:r w:rsidRPr="009B1FA9">
        <w:rPr>
          <w:rFonts w:hint="cs"/>
          <w:b w:val="0"/>
          <w:bCs w:val="0"/>
          <w:rtl/>
        </w:rPr>
        <w:t>שורה</w:t>
      </w:r>
      <w:r w:rsidRPr="009B1FA9">
        <w:rPr>
          <w:b w:val="0"/>
          <w:bCs w:val="0"/>
        </w:rPr>
        <w:t>.</w:t>
      </w:r>
    </w:p>
  </w:footnote>
  <w:footnote w:id="3">
    <w:p w:rsidR="00033D1E" w:rsidRPr="009B1FA9" w:rsidRDefault="00033D1E" w:rsidP="00667DC2">
      <w:pPr>
        <w:pStyle w:val="FootnoteText"/>
        <w:widowControl w:val="0"/>
        <w:spacing w:line="264" w:lineRule="auto"/>
        <w:rPr>
          <w:b w:val="0"/>
          <w:bCs w:val="0"/>
        </w:rPr>
      </w:pPr>
      <w:r w:rsidRPr="009B1FA9">
        <w:rPr>
          <w:rStyle w:val="FootnoteReference"/>
          <w:b w:val="0"/>
          <w:bCs w:val="0"/>
        </w:rPr>
        <w:footnoteRef/>
      </w:r>
      <w:r w:rsidRPr="009B1FA9">
        <w:rPr>
          <w:b w:val="0"/>
          <w:bCs w:val="0"/>
        </w:rPr>
        <w:t xml:space="preserve"> Both statements are saying the same ruling that by </w:t>
      </w:r>
      <w:r w:rsidRPr="009B1FA9">
        <w:rPr>
          <w:rFonts w:hint="cs"/>
          <w:b w:val="0"/>
          <w:bCs w:val="0"/>
          <w:rtl/>
        </w:rPr>
        <w:t>ברכת אבלים ברחבה</w:t>
      </w:r>
      <w:r w:rsidRPr="009B1FA9">
        <w:rPr>
          <w:b w:val="0"/>
          <w:bCs w:val="0"/>
        </w:rPr>
        <w:t xml:space="preserve"> the </w:t>
      </w:r>
      <w:r w:rsidRPr="009B1FA9">
        <w:rPr>
          <w:rFonts w:hint="cs"/>
          <w:b w:val="0"/>
          <w:bCs w:val="0"/>
          <w:rtl/>
        </w:rPr>
        <w:t>אבלים</w:t>
      </w:r>
      <w:r w:rsidRPr="009B1FA9">
        <w:rPr>
          <w:b w:val="0"/>
          <w:bCs w:val="0"/>
        </w:rPr>
        <w:t xml:space="preserve"> are not </w:t>
      </w:r>
      <w:r w:rsidRPr="009B1FA9">
        <w:rPr>
          <w:rFonts w:hint="cs"/>
          <w:b w:val="0"/>
          <w:bCs w:val="0"/>
          <w:rtl/>
        </w:rPr>
        <w:t>מן המנין</w:t>
      </w:r>
      <w:r w:rsidRPr="009B1FA9">
        <w:rPr>
          <w:b w:val="0"/>
          <w:bCs w:val="0"/>
        </w:rPr>
        <w:t>.</w:t>
      </w:r>
    </w:p>
  </w:footnote>
  <w:footnote w:id="4">
    <w:p w:rsidR="009B1FA9" w:rsidRPr="009B1FA9" w:rsidRDefault="009B1FA9" w:rsidP="00667DC2">
      <w:pPr>
        <w:pStyle w:val="FootnoteText"/>
        <w:widowControl w:val="0"/>
        <w:spacing w:line="264" w:lineRule="auto"/>
        <w:rPr>
          <w:b w:val="0"/>
          <w:bCs w:val="0"/>
        </w:rPr>
      </w:pPr>
      <w:r w:rsidRPr="009B1FA9">
        <w:rPr>
          <w:rStyle w:val="FootnoteReference"/>
          <w:b w:val="0"/>
          <w:bCs w:val="0"/>
        </w:rPr>
        <w:footnoteRef/>
      </w:r>
      <w:r w:rsidRPr="009B1FA9">
        <w:rPr>
          <w:b w:val="0"/>
          <w:bCs w:val="0"/>
        </w:rPr>
        <w:t xml:space="preserve"> </w:t>
      </w:r>
      <w:r w:rsidRPr="009B1FA9">
        <w:rPr>
          <w:rFonts w:hint="cs"/>
          <w:b w:val="0"/>
          <w:bCs w:val="0"/>
          <w:rtl/>
        </w:rPr>
        <w:t>ר' יצחק</w:t>
      </w:r>
      <w:r w:rsidRPr="009B1FA9">
        <w:rPr>
          <w:b w:val="0"/>
          <w:bCs w:val="0"/>
        </w:rPr>
        <w:t xml:space="preserve"> repeated the statement of </w:t>
      </w:r>
      <w:r w:rsidRPr="009B1FA9">
        <w:rPr>
          <w:rFonts w:hint="cs"/>
          <w:b w:val="0"/>
          <w:bCs w:val="0"/>
          <w:rtl/>
        </w:rPr>
        <w:t>ר"י</w:t>
      </w:r>
      <w:r w:rsidRPr="009B1FA9">
        <w:rPr>
          <w:b w:val="0"/>
          <w:bCs w:val="0"/>
        </w:rPr>
        <w:t xml:space="preserve"> (‘b’) in two ways; statement ‘a’ and statement ‘b’</w:t>
      </w:r>
      <w:r w:rsidR="009264E4">
        <w:rPr>
          <w:b w:val="0"/>
          <w:bCs w:val="0"/>
        </w:rPr>
        <w:t>. See ‘Thinking it over’ # 1.</w:t>
      </w:r>
    </w:p>
  </w:footnote>
  <w:footnote w:id="5">
    <w:p w:rsidR="00033D1E" w:rsidRPr="009B1FA9" w:rsidRDefault="00033D1E" w:rsidP="00667DC2">
      <w:pPr>
        <w:pStyle w:val="FootnoteText"/>
        <w:widowControl w:val="0"/>
        <w:spacing w:line="264" w:lineRule="auto"/>
        <w:rPr>
          <w:b w:val="0"/>
          <w:bCs w:val="0"/>
        </w:rPr>
      </w:pPr>
      <w:r w:rsidRPr="009B1FA9">
        <w:rPr>
          <w:rStyle w:val="FootnoteReference"/>
          <w:b w:val="0"/>
          <w:bCs w:val="0"/>
        </w:rPr>
        <w:footnoteRef/>
      </w:r>
      <w:r w:rsidRPr="009B1FA9">
        <w:rPr>
          <w:b w:val="0"/>
          <w:bCs w:val="0"/>
        </w:rPr>
        <w:t xml:space="preserve"> It certainly cannot be that ‘b’ (which states </w:t>
      </w:r>
      <w:r w:rsidRPr="009B1FA9">
        <w:rPr>
          <w:rFonts w:hint="cs"/>
          <w:b w:val="0"/>
          <w:bCs w:val="0"/>
          <w:rtl/>
        </w:rPr>
        <w:t>ברכת אבלים בי'</w:t>
      </w:r>
      <w:r w:rsidRPr="009B1FA9">
        <w:rPr>
          <w:b w:val="0"/>
          <w:bCs w:val="0"/>
        </w:rPr>
        <w:t xml:space="preserve">) was derived from ‘a’ (which merely states </w:t>
      </w:r>
      <w:r w:rsidRPr="009B1FA9">
        <w:rPr>
          <w:rFonts w:hint="cs"/>
          <w:b w:val="0"/>
          <w:bCs w:val="0"/>
          <w:rtl/>
        </w:rPr>
        <w:t>ואין אבלים מן המנין</w:t>
      </w:r>
      <w:r w:rsidRPr="009B1FA9">
        <w:rPr>
          <w:b w:val="0"/>
          <w:bCs w:val="0"/>
        </w:rPr>
        <w:t>), which does not mention the requirement of ten.</w:t>
      </w:r>
    </w:p>
  </w:footnote>
  <w:footnote w:id="6">
    <w:p w:rsidR="00EB778E" w:rsidRPr="009B1FA9" w:rsidRDefault="00EB778E" w:rsidP="00667DC2">
      <w:pPr>
        <w:pStyle w:val="FootnoteText"/>
        <w:widowControl w:val="0"/>
        <w:spacing w:line="264" w:lineRule="auto"/>
        <w:rPr>
          <w:b w:val="0"/>
          <w:bCs w:val="0"/>
        </w:rPr>
      </w:pPr>
      <w:r w:rsidRPr="009B1FA9">
        <w:rPr>
          <w:rStyle w:val="FootnoteReference"/>
          <w:b w:val="0"/>
          <w:bCs w:val="0"/>
        </w:rPr>
        <w:footnoteRef/>
      </w:r>
      <w:r w:rsidRPr="009B1FA9">
        <w:rPr>
          <w:b w:val="0"/>
          <w:bCs w:val="0"/>
        </w:rPr>
        <w:t xml:space="preserve"> It certainly teaches us that by </w:t>
      </w:r>
      <w:r w:rsidRPr="009B1FA9">
        <w:rPr>
          <w:rFonts w:hint="cs"/>
          <w:b w:val="0"/>
          <w:bCs w:val="0"/>
          <w:rtl/>
        </w:rPr>
        <w:t>פנים חדשות</w:t>
      </w:r>
      <w:r w:rsidRPr="009B1FA9">
        <w:rPr>
          <w:b w:val="0"/>
          <w:bCs w:val="0"/>
        </w:rPr>
        <w:t xml:space="preserve"> there is </w:t>
      </w:r>
      <w:r w:rsidRPr="009B1FA9">
        <w:rPr>
          <w:rFonts w:hint="cs"/>
          <w:b w:val="0"/>
          <w:bCs w:val="0"/>
          <w:rtl/>
        </w:rPr>
        <w:t>ברכת אבלים כל שבעה</w:t>
      </w:r>
      <w:r w:rsidRPr="009B1FA9">
        <w:rPr>
          <w:b w:val="0"/>
          <w:bCs w:val="0"/>
        </w:rPr>
        <w:t xml:space="preserve">; however </w:t>
      </w:r>
      <w:r w:rsidRPr="009B1FA9">
        <w:rPr>
          <w:rFonts w:hint="cs"/>
          <w:b w:val="0"/>
          <w:bCs w:val="0"/>
          <w:rtl/>
        </w:rPr>
        <w:t>תוס'</w:t>
      </w:r>
      <w:r w:rsidRPr="009B1FA9">
        <w:rPr>
          <w:b w:val="0"/>
          <w:bCs w:val="0"/>
        </w:rPr>
        <w:t xml:space="preserve"> is explaining why it added </w:t>
      </w:r>
      <w:r w:rsidRPr="009B1FA9">
        <w:rPr>
          <w:rFonts w:hint="cs"/>
          <w:b w:val="0"/>
          <w:bCs w:val="0"/>
          <w:rtl/>
        </w:rPr>
        <w:t>ואין אבלים מן המנין</w:t>
      </w:r>
      <w:r w:rsidRPr="009B1FA9">
        <w:rPr>
          <w:b w:val="0"/>
          <w:bCs w:val="0"/>
        </w:rPr>
        <w:t>.</w:t>
      </w:r>
      <w:r w:rsidR="00CC1506" w:rsidRPr="009B1FA9">
        <w:rPr>
          <w:b w:val="0"/>
          <w:bCs w:val="0"/>
        </w:rPr>
        <w:t xml:space="preserve"> This answer would apply to the other </w:t>
      </w:r>
      <w:r w:rsidR="00CC1506" w:rsidRPr="009B1FA9">
        <w:rPr>
          <w:rFonts w:hint="cs"/>
          <w:b w:val="0"/>
          <w:bCs w:val="0"/>
          <w:rtl/>
        </w:rPr>
        <w:t>גירסא</w:t>
      </w:r>
      <w:r w:rsidR="00CC1506" w:rsidRPr="009B1FA9">
        <w:rPr>
          <w:b w:val="0"/>
          <w:bCs w:val="0"/>
        </w:rPr>
        <w:t xml:space="preserve"> as well.</w:t>
      </w:r>
    </w:p>
  </w:footnote>
  <w:footnote w:id="7">
    <w:p w:rsidR="00F1747A" w:rsidRPr="009B1FA9" w:rsidRDefault="00F1747A" w:rsidP="00667DC2">
      <w:pPr>
        <w:pStyle w:val="FootnoteText"/>
        <w:widowControl w:val="0"/>
        <w:spacing w:line="264" w:lineRule="auto"/>
        <w:rPr>
          <w:b w:val="0"/>
          <w:bCs w:val="0"/>
        </w:rPr>
      </w:pPr>
      <w:r w:rsidRPr="009B1FA9">
        <w:rPr>
          <w:rStyle w:val="FootnoteReference"/>
          <w:b w:val="0"/>
          <w:bCs w:val="0"/>
        </w:rPr>
        <w:footnoteRef/>
      </w:r>
      <w:r w:rsidRPr="009B1FA9">
        <w:rPr>
          <w:b w:val="0"/>
          <w:bCs w:val="0"/>
        </w:rPr>
        <w:t xml:space="preserve"> We may have though</w:t>
      </w:r>
      <w:r w:rsidR="009B1FA9" w:rsidRPr="009B1FA9">
        <w:rPr>
          <w:b w:val="0"/>
          <w:bCs w:val="0"/>
        </w:rPr>
        <w:t>t</w:t>
      </w:r>
      <w:r w:rsidRPr="009B1FA9">
        <w:rPr>
          <w:b w:val="0"/>
          <w:bCs w:val="0"/>
        </w:rPr>
        <w:t xml:space="preserve"> that only on the first say </w:t>
      </w:r>
      <w:r w:rsidRPr="009B1FA9">
        <w:rPr>
          <w:rFonts w:hint="cs"/>
          <w:b w:val="0"/>
          <w:bCs w:val="0"/>
          <w:rtl/>
        </w:rPr>
        <w:t>אין אבלים מן המנין</w:t>
      </w:r>
      <w:r w:rsidRPr="009B1FA9">
        <w:rPr>
          <w:b w:val="0"/>
          <w:bCs w:val="0"/>
        </w:rPr>
        <w:t xml:space="preserve">, since the </w:t>
      </w:r>
      <w:r w:rsidRPr="009B1FA9">
        <w:rPr>
          <w:rFonts w:hint="cs"/>
          <w:b w:val="0"/>
          <w:bCs w:val="0"/>
          <w:rtl/>
        </w:rPr>
        <w:t>אבל</w:t>
      </w:r>
      <w:r w:rsidRPr="009B1FA9">
        <w:rPr>
          <w:b w:val="0"/>
          <w:bCs w:val="0"/>
        </w:rPr>
        <w:t xml:space="preserve"> is extremely embittered and in deep mourning, however on the subsequent days when his bitterness has subsided he may be </w:t>
      </w:r>
      <w:r w:rsidRPr="009B1FA9">
        <w:rPr>
          <w:rFonts w:hint="cs"/>
          <w:b w:val="0"/>
          <w:bCs w:val="0"/>
          <w:rtl/>
        </w:rPr>
        <w:t>מן המנין</w:t>
      </w:r>
      <w:r w:rsidRPr="009B1FA9">
        <w:rPr>
          <w:b w:val="0"/>
          <w:bCs w:val="0"/>
        </w:rPr>
        <w:t>.</w:t>
      </w:r>
    </w:p>
  </w:footnote>
  <w:footnote w:id="8">
    <w:p w:rsidR="00EB778E" w:rsidRPr="009B1FA9" w:rsidRDefault="00EB778E" w:rsidP="00667DC2">
      <w:pPr>
        <w:pStyle w:val="FootnoteText"/>
        <w:widowControl w:val="0"/>
        <w:spacing w:line="264" w:lineRule="auto"/>
        <w:rPr>
          <w:b w:val="0"/>
          <w:bCs w:val="0"/>
        </w:rPr>
      </w:pPr>
      <w:r w:rsidRPr="009B1FA9">
        <w:rPr>
          <w:rStyle w:val="FootnoteReference"/>
          <w:b w:val="0"/>
          <w:bCs w:val="0"/>
        </w:rPr>
        <w:footnoteRef/>
      </w:r>
      <w:r w:rsidRPr="009B1FA9">
        <w:rPr>
          <w:b w:val="0"/>
          <w:bCs w:val="0"/>
        </w:rPr>
        <w:t xml:space="preserve"> This applies to the other </w:t>
      </w:r>
      <w:r w:rsidRPr="009B1FA9">
        <w:rPr>
          <w:rFonts w:hint="cs"/>
          <w:b w:val="0"/>
          <w:bCs w:val="0"/>
          <w:rtl/>
        </w:rPr>
        <w:t>גירסא</w:t>
      </w:r>
      <w:r w:rsidRPr="009B1FA9">
        <w:rPr>
          <w:b w:val="0"/>
          <w:bCs w:val="0"/>
        </w:rPr>
        <w:t xml:space="preserve"> as well.</w:t>
      </w:r>
    </w:p>
  </w:footnote>
  <w:footnote w:id="9">
    <w:p w:rsidR="00F1411A" w:rsidRPr="009B1FA9" w:rsidRDefault="00F1411A" w:rsidP="00032AD0">
      <w:pPr>
        <w:pStyle w:val="FootnoteText"/>
        <w:widowControl w:val="0"/>
        <w:spacing w:line="264" w:lineRule="auto"/>
        <w:rPr>
          <w:b w:val="0"/>
          <w:bCs w:val="0"/>
        </w:rPr>
      </w:pPr>
      <w:r w:rsidRPr="009B1FA9">
        <w:rPr>
          <w:rStyle w:val="FootnoteReference"/>
          <w:b w:val="0"/>
          <w:bCs w:val="0"/>
        </w:rPr>
        <w:footnoteRef/>
      </w:r>
      <w:r w:rsidRPr="009B1FA9">
        <w:rPr>
          <w:b w:val="0"/>
          <w:bCs w:val="0"/>
        </w:rPr>
        <w:t xml:space="preserve"> </w:t>
      </w:r>
      <w:r w:rsidRPr="009B1FA9">
        <w:rPr>
          <w:rFonts w:hint="cs"/>
          <w:b w:val="0"/>
          <w:bCs w:val="0"/>
          <w:rtl/>
        </w:rPr>
        <w:t>תוספות</w:t>
      </w:r>
      <w:r w:rsidRPr="009B1FA9">
        <w:rPr>
          <w:b w:val="0"/>
          <w:bCs w:val="0"/>
        </w:rPr>
        <w:t xml:space="preserve"> is explaining why it mentions statement ‘b’ at all; we should mention only statement ‘c’ and we would </w:t>
      </w:r>
      <w:r w:rsidR="009B1FA9" w:rsidRPr="009B1FA9">
        <w:rPr>
          <w:b w:val="0"/>
          <w:bCs w:val="0"/>
        </w:rPr>
        <w:t>k</w:t>
      </w:r>
      <w:r w:rsidRPr="009B1FA9">
        <w:rPr>
          <w:b w:val="0"/>
          <w:bCs w:val="0"/>
        </w:rPr>
        <w:t>now</w:t>
      </w:r>
      <w:r w:rsidR="009B1FA9" w:rsidRPr="009B1FA9">
        <w:rPr>
          <w:b w:val="0"/>
          <w:bCs w:val="0"/>
        </w:rPr>
        <w:t xml:space="preserve"> that</w:t>
      </w:r>
      <w:r w:rsidRPr="009B1FA9">
        <w:rPr>
          <w:b w:val="0"/>
          <w:bCs w:val="0"/>
        </w:rPr>
        <w:t xml:space="preserve"> if </w:t>
      </w:r>
      <w:r w:rsidRPr="009B1FA9">
        <w:rPr>
          <w:rFonts w:hint="cs"/>
          <w:b w:val="0"/>
          <w:bCs w:val="0"/>
          <w:rtl/>
        </w:rPr>
        <w:t>אין אבלים מן המנין</w:t>
      </w:r>
      <w:r w:rsidRPr="009B1FA9">
        <w:rPr>
          <w:b w:val="0"/>
          <w:bCs w:val="0"/>
        </w:rPr>
        <w:t xml:space="preserve"> all the other days then certainly on the first day </w:t>
      </w:r>
      <w:r w:rsidRPr="009B1FA9">
        <w:rPr>
          <w:rFonts w:hint="cs"/>
          <w:b w:val="0"/>
          <w:bCs w:val="0"/>
          <w:rtl/>
        </w:rPr>
        <w:t>אין אבלים מן המנין</w:t>
      </w:r>
      <w:r w:rsidRPr="009B1FA9">
        <w:rPr>
          <w:b w:val="0"/>
          <w:bCs w:val="0"/>
        </w:rPr>
        <w:t xml:space="preserve"> (see footnote # </w:t>
      </w:r>
      <w:r w:rsidR="009B1FA9">
        <w:rPr>
          <w:b w:val="0"/>
          <w:bCs w:val="0"/>
        </w:rPr>
        <w:t>7</w:t>
      </w:r>
      <w:r w:rsidRPr="009B1FA9">
        <w:rPr>
          <w:b w:val="0"/>
          <w:bCs w:val="0"/>
        </w:rPr>
        <w:t>).</w:t>
      </w:r>
    </w:p>
  </w:footnote>
  <w:footnote w:id="10">
    <w:p w:rsidR="00032AD0" w:rsidRPr="00032AD0" w:rsidRDefault="00032AD0" w:rsidP="00032AD0">
      <w:pPr>
        <w:pStyle w:val="FootnoteText"/>
        <w:spacing w:line="264" w:lineRule="auto"/>
        <w:rPr>
          <w:b w:val="0"/>
          <w:bCs w:val="0"/>
          <w:spacing w:val="-2"/>
        </w:rPr>
      </w:pPr>
      <w:r w:rsidRPr="00032AD0">
        <w:rPr>
          <w:rStyle w:val="FootnoteReference"/>
          <w:b w:val="0"/>
          <w:bCs w:val="0"/>
          <w:spacing w:val="-2"/>
        </w:rPr>
        <w:footnoteRef/>
      </w:r>
      <w:r w:rsidRPr="00032AD0">
        <w:rPr>
          <w:b w:val="0"/>
          <w:bCs w:val="0"/>
          <w:spacing w:val="-2"/>
        </w:rPr>
        <w:t xml:space="preserve"> </w:t>
      </w:r>
      <w:proofErr w:type="gramStart"/>
      <w:r w:rsidRPr="00032AD0">
        <w:rPr>
          <w:b w:val="0"/>
          <w:bCs w:val="0"/>
          <w:spacing w:val="-2"/>
        </w:rPr>
        <w:t xml:space="preserve">In the </w:t>
      </w:r>
      <w:r w:rsidRPr="00032AD0">
        <w:rPr>
          <w:rFonts w:hint="cs"/>
          <w:b w:val="0"/>
          <w:bCs w:val="0"/>
          <w:spacing w:val="-2"/>
          <w:rtl/>
        </w:rPr>
        <w:t>תוה"ר</w:t>
      </w:r>
      <w:r w:rsidRPr="00032AD0">
        <w:rPr>
          <w:b w:val="0"/>
          <w:bCs w:val="0"/>
          <w:spacing w:val="-2"/>
        </w:rPr>
        <w:t xml:space="preserve"> and </w:t>
      </w:r>
      <w:r w:rsidRPr="00032AD0">
        <w:rPr>
          <w:rFonts w:hint="cs"/>
          <w:b w:val="0"/>
          <w:bCs w:val="0"/>
          <w:spacing w:val="-2"/>
          <w:rtl/>
        </w:rPr>
        <w:t>תוס' שאנץ</w:t>
      </w:r>
      <w:r w:rsidRPr="00032AD0">
        <w:rPr>
          <w:b w:val="0"/>
          <w:bCs w:val="0"/>
          <w:spacing w:val="-2"/>
        </w:rPr>
        <w:t xml:space="preserve"> the </w:t>
      </w:r>
      <w:r w:rsidRPr="00032AD0">
        <w:rPr>
          <w:rFonts w:hint="cs"/>
          <w:b w:val="0"/>
          <w:bCs w:val="0"/>
          <w:spacing w:val="-2"/>
          <w:rtl/>
        </w:rPr>
        <w:t>גירסא</w:t>
      </w:r>
      <w:r w:rsidRPr="00032AD0">
        <w:rPr>
          <w:b w:val="0"/>
          <w:bCs w:val="0"/>
          <w:spacing w:val="-2"/>
        </w:rPr>
        <w:t xml:space="preserve"> is </w:t>
      </w:r>
      <w:r w:rsidRPr="00032AD0">
        <w:rPr>
          <w:rFonts w:hint="cs"/>
          <w:b w:val="0"/>
          <w:bCs w:val="0"/>
          <w:spacing w:val="-2"/>
          <w:rtl/>
        </w:rPr>
        <w:t>'שייכא'</w:t>
      </w:r>
      <w:r w:rsidRPr="00032AD0">
        <w:rPr>
          <w:b w:val="0"/>
          <w:bCs w:val="0"/>
          <w:spacing w:val="-2"/>
        </w:rPr>
        <w:t xml:space="preserve"> (in the singular, referring perhaps to the </w:t>
      </w:r>
      <w:r w:rsidRPr="00032AD0">
        <w:rPr>
          <w:rFonts w:hint="cs"/>
          <w:b w:val="0"/>
          <w:bCs w:val="0"/>
          <w:spacing w:val="-2"/>
          <w:rtl/>
        </w:rPr>
        <w:t>ברכה</w:t>
      </w:r>
      <w:r w:rsidRPr="00032AD0">
        <w:rPr>
          <w:b w:val="0"/>
          <w:bCs w:val="0"/>
          <w:spacing w:val="-2"/>
        </w:rPr>
        <w:t xml:space="preserve">), not </w:t>
      </w:r>
      <w:r w:rsidRPr="00032AD0">
        <w:rPr>
          <w:rFonts w:hint="cs"/>
          <w:b w:val="0"/>
          <w:bCs w:val="0"/>
          <w:spacing w:val="-2"/>
          <w:rtl/>
        </w:rPr>
        <w:t>שייכי</w:t>
      </w:r>
      <w:r w:rsidRPr="00032AD0">
        <w:rPr>
          <w:b w:val="0"/>
          <w:bCs w:val="0"/>
          <w:spacing w:val="-2"/>
        </w:rPr>
        <w:t xml:space="preserve"> (in the plural).</w:t>
      </w:r>
      <w:proofErr w:type="gramEnd"/>
    </w:p>
  </w:footnote>
  <w:footnote w:id="11">
    <w:p w:rsidR="00F1747A" w:rsidRPr="009B1FA9" w:rsidRDefault="00F1747A" w:rsidP="00032AD0">
      <w:pPr>
        <w:pStyle w:val="FootnoteText"/>
        <w:widowControl w:val="0"/>
        <w:spacing w:line="264" w:lineRule="auto"/>
        <w:rPr>
          <w:b w:val="0"/>
          <w:bCs w:val="0"/>
        </w:rPr>
      </w:pPr>
      <w:r w:rsidRPr="009B1FA9">
        <w:rPr>
          <w:rStyle w:val="FootnoteReference"/>
          <w:b w:val="0"/>
          <w:bCs w:val="0"/>
        </w:rPr>
        <w:footnoteRef/>
      </w:r>
      <w:r w:rsidRPr="009B1FA9">
        <w:rPr>
          <w:b w:val="0"/>
          <w:bCs w:val="0"/>
        </w:rPr>
        <w:t xml:space="preserve"> See </w:t>
      </w:r>
      <w:r w:rsidRPr="009B1FA9">
        <w:rPr>
          <w:rFonts w:hint="cs"/>
          <w:b w:val="0"/>
          <w:bCs w:val="0"/>
          <w:rtl/>
        </w:rPr>
        <w:t>מהרש"ל</w:t>
      </w:r>
      <w:r w:rsidRPr="009B1FA9">
        <w:rPr>
          <w:b w:val="0"/>
          <w:bCs w:val="0"/>
        </w:rPr>
        <w:t>. See ‘Thinking it over’</w:t>
      </w:r>
      <w:r w:rsidR="009264E4">
        <w:rPr>
          <w:b w:val="0"/>
          <w:bCs w:val="0"/>
        </w:rPr>
        <w:t xml:space="preserve"> # 2</w:t>
      </w:r>
      <w:r w:rsidRPr="009B1FA9">
        <w:rPr>
          <w:b w:val="0"/>
          <w:bCs w:val="0"/>
        </w:rPr>
        <w:t>.</w:t>
      </w:r>
    </w:p>
  </w:footnote>
  <w:footnote w:id="12">
    <w:p w:rsidR="009264E4" w:rsidRPr="009264E4" w:rsidRDefault="009264E4" w:rsidP="00667DC2">
      <w:pPr>
        <w:pStyle w:val="FootnoteText"/>
        <w:spacing w:line="264" w:lineRule="auto"/>
        <w:rPr>
          <w:b w:val="0"/>
          <w:bCs w:val="0"/>
        </w:rPr>
      </w:pPr>
      <w:r w:rsidRPr="009264E4">
        <w:rPr>
          <w:rStyle w:val="FootnoteReference"/>
          <w:b w:val="0"/>
          <w:bCs w:val="0"/>
        </w:rPr>
        <w:footnoteRef/>
      </w:r>
      <w:r w:rsidRPr="009264E4">
        <w:rPr>
          <w:b w:val="0"/>
          <w:bCs w:val="0"/>
        </w:rPr>
        <w:t xml:space="preserve"> See footnote # 4.</w:t>
      </w:r>
    </w:p>
  </w:footnote>
  <w:footnote w:id="13">
    <w:p w:rsidR="009264E4" w:rsidRPr="009264E4" w:rsidRDefault="009264E4" w:rsidP="00667DC2">
      <w:pPr>
        <w:pStyle w:val="FootnoteText"/>
        <w:spacing w:line="264" w:lineRule="auto"/>
        <w:rPr>
          <w:b w:val="0"/>
          <w:bCs w:val="0"/>
          <w:rtl/>
        </w:rPr>
      </w:pPr>
      <w:r w:rsidRPr="009264E4">
        <w:rPr>
          <w:rStyle w:val="FootnoteReference"/>
          <w:b w:val="0"/>
          <w:bCs w:val="0"/>
        </w:rPr>
        <w:footnoteRef/>
      </w:r>
      <w:r w:rsidRPr="009264E4">
        <w:rPr>
          <w:b w:val="0"/>
          <w:bCs w:val="0"/>
        </w:rPr>
        <w:t xml:space="preserve"> See </w:t>
      </w:r>
      <w:r w:rsidRPr="009264E4">
        <w:rPr>
          <w:rFonts w:hint="cs"/>
          <w:b w:val="0"/>
          <w:bCs w:val="0"/>
          <w:rtl/>
        </w:rPr>
        <w:t xml:space="preserve">מהרש"א </w:t>
      </w:r>
    </w:p>
  </w:footnote>
  <w:footnote w:id="14">
    <w:p w:rsidR="009B1FA9" w:rsidRPr="009B1FA9" w:rsidRDefault="009B1FA9" w:rsidP="00032AD0">
      <w:pPr>
        <w:pStyle w:val="FootnoteText"/>
        <w:widowControl w:val="0"/>
        <w:spacing w:line="264" w:lineRule="auto"/>
        <w:rPr>
          <w:b w:val="0"/>
          <w:bCs w:val="0"/>
        </w:rPr>
      </w:pPr>
      <w:r w:rsidRPr="009B1FA9">
        <w:rPr>
          <w:rStyle w:val="FootnoteReference"/>
          <w:b w:val="0"/>
          <w:bCs w:val="0"/>
        </w:rPr>
        <w:footnoteRef/>
      </w:r>
      <w:r w:rsidRPr="009B1FA9">
        <w:rPr>
          <w:b w:val="0"/>
          <w:bCs w:val="0"/>
        </w:rPr>
        <w:t xml:space="preserve"> See footnote # </w:t>
      </w:r>
      <w:r w:rsidR="00032AD0">
        <w:rPr>
          <w:b w:val="0"/>
          <w:bCs w:val="0"/>
        </w:rPr>
        <w:t>(</w:t>
      </w:r>
      <w:r w:rsidRPr="009B1FA9">
        <w:rPr>
          <w:b w:val="0"/>
          <w:bCs w:val="0"/>
        </w:rPr>
        <w:t>10</w:t>
      </w:r>
      <w:r w:rsidR="00032AD0">
        <w:rPr>
          <w:b w:val="0"/>
          <w:bCs w:val="0"/>
        </w:rPr>
        <w:t xml:space="preserve"> &amp;) </w:t>
      </w:r>
      <w:proofErr w:type="gramStart"/>
      <w:r w:rsidR="00032AD0">
        <w:rPr>
          <w:b w:val="0"/>
          <w:bCs w:val="0"/>
        </w:rPr>
        <w:t xml:space="preserve">11 </w:t>
      </w:r>
      <w:r w:rsidRPr="009B1FA9">
        <w:rPr>
          <w:b w:val="0"/>
          <w:bCs w:val="0"/>
        </w:rPr>
        <w:t>.</w:t>
      </w:r>
      <w:proofErr w:type="gramEnd"/>
    </w:p>
  </w:footnote>
  <w:footnote w:id="15">
    <w:p w:rsidR="00032AD0" w:rsidRPr="00032AD0" w:rsidRDefault="00032AD0" w:rsidP="00032AD0">
      <w:pPr>
        <w:pStyle w:val="FootnoteText"/>
        <w:spacing w:line="264" w:lineRule="auto"/>
        <w:rPr>
          <w:b w:val="0"/>
          <w:bCs w:val="0"/>
        </w:rPr>
      </w:pPr>
      <w:r w:rsidRPr="00032AD0">
        <w:rPr>
          <w:rStyle w:val="FootnoteReference"/>
          <w:b w:val="0"/>
          <w:bCs w:val="0"/>
        </w:rPr>
        <w:footnoteRef/>
      </w:r>
      <w:r w:rsidRPr="00032AD0">
        <w:rPr>
          <w:b w:val="0"/>
          <w:bCs w:val="0"/>
        </w:rPr>
        <w:t xml:space="preserve"> This perhaps is the view of </w:t>
      </w:r>
      <w:r w:rsidRPr="00032AD0">
        <w:rPr>
          <w:rFonts w:hint="cs"/>
          <w:b w:val="0"/>
          <w:bCs w:val="0"/>
          <w:rtl/>
        </w:rPr>
        <w:t>תוה"ר</w:t>
      </w:r>
      <w:r w:rsidRPr="00032AD0">
        <w:rPr>
          <w:b w:val="0"/>
          <w:bCs w:val="0"/>
        </w:rPr>
        <w:t xml:space="preserve"> and </w:t>
      </w:r>
      <w:r w:rsidRPr="00032AD0">
        <w:rPr>
          <w:rFonts w:hint="cs"/>
          <w:b w:val="0"/>
          <w:bCs w:val="0"/>
          <w:rtl/>
        </w:rPr>
        <w:t>תוס' שאנץ</w:t>
      </w:r>
      <w:r w:rsidRPr="00032AD0">
        <w:rPr>
          <w:b w:val="0"/>
          <w:bCs w:val="0"/>
        </w:rPr>
        <w:t>. See footnote # 10.</w:t>
      </w:r>
    </w:p>
  </w:footnote>
  <w:footnote w:id="16">
    <w:p w:rsidR="00667DC2" w:rsidRPr="00667DC2" w:rsidRDefault="00667DC2" w:rsidP="00032AD0">
      <w:pPr>
        <w:pStyle w:val="FootnoteText"/>
        <w:spacing w:line="264" w:lineRule="auto"/>
        <w:rPr>
          <w:b w:val="0"/>
          <w:bCs w:val="0"/>
        </w:rPr>
      </w:pPr>
      <w:r w:rsidRPr="00667DC2">
        <w:rPr>
          <w:rStyle w:val="FootnoteReference"/>
          <w:b w:val="0"/>
          <w:bCs w:val="0"/>
        </w:rPr>
        <w:footnoteRef/>
      </w:r>
      <w:r w:rsidRPr="00667DC2">
        <w:rPr>
          <w:b w:val="0"/>
          <w:bCs w:val="0"/>
        </w:rPr>
        <w:t xml:space="preserve"> See </w:t>
      </w:r>
      <w:r w:rsidRPr="00667DC2">
        <w:rPr>
          <w:rFonts w:hint="cs"/>
          <w:b w:val="0"/>
          <w:bCs w:val="0"/>
          <w:rtl/>
        </w:rPr>
        <w:t>מירא דכיא</w:t>
      </w:r>
      <w:r w:rsidRPr="00667DC2">
        <w:rPr>
          <w:b w:val="0"/>
          <w:bCs w:val="0"/>
        </w:rPr>
        <w:t xml:space="preserve">. </w:t>
      </w:r>
      <w:proofErr w:type="gramStart"/>
      <w:r w:rsidRPr="00667DC2">
        <w:rPr>
          <w:b w:val="0"/>
          <w:bCs w:val="0"/>
        </w:rPr>
        <w:t>(</w:t>
      </w:r>
      <w:r w:rsidRPr="00667DC2">
        <w:rPr>
          <w:rFonts w:hint="cs"/>
          <w:b w:val="0"/>
          <w:bCs w:val="0"/>
          <w:rtl/>
        </w:rPr>
        <w:t>ועצ"ע</w:t>
      </w:r>
      <w:r w:rsidRPr="00667DC2">
        <w:rPr>
          <w:b w:val="0"/>
          <w:bCs w:val="0"/>
        </w:rPr>
        <w:t>.)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CEC" w:rsidRPr="00F63CEC" w:rsidRDefault="00F63CEC" w:rsidP="00F63CEC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ח,ב תוס' ד"ה אלא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8CA"/>
    <w:rsid w:val="00032AD0"/>
    <w:rsid w:val="00033D1E"/>
    <w:rsid w:val="002D3167"/>
    <w:rsid w:val="003448CA"/>
    <w:rsid w:val="003D4453"/>
    <w:rsid w:val="00445464"/>
    <w:rsid w:val="00500975"/>
    <w:rsid w:val="005612B1"/>
    <w:rsid w:val="00667DC2"/>
    <w:rsid w:val="00693DA2"/>
    <w:rsid w:val="006F269A"/>
    <w:rsid w:val="00896BB4"/>
    <w:rsid w:val="009264E4"/>
    <w:rsid w:val="009B1FA9"/>
    <w:rsid w:val="00B33CF8"/>
    <w:rsid w:val="00CC1506"/>
    <w:rsid w:val="00D04A0B"/>
    <w:rsid w:val="00EB778E"/>
    <w:rsid w:val="00F1411A"/>
    <w:rsid w:val="00F1747A"/>
    <w:rsid w:val="00F43CA2"/>
    <w:rsid w:val="00F6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C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CEC"/>
  </w:style>
  <w:style w:type="paragraph" w:styleId="Footer">
    <w:name w:val="footer"/>
    <w:basedOn w:val="Normal"/>
    <w:link w:val="FooterChar"/>
    <w:uiPriority w:val="99"/>
    <w:unhideWhenUsed/>
    <w:rsid w:val="00F63C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CEC"/>
  </w:style>
  <w:style w:type="paragraph" w:styleId="FootnoteText">
    <w:name w:val="footnote text"/>
    <w:basedOn w:val="Normal"/>
    <w:link w:val="FootnoteTextChar"/>
    <w:uiPriority w:val="99"/>
    <w:semiHidden/>
    <w:unhideWhenUsed/>
    <w:rsid w:val="00D04A0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4A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4A0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64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C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CEC"/>
  </w:style>
  <w:style w:type="paragraph" w:styleId="Footer">
    <w:name w:val="footer"/>
    <w:basedOn w:val="Normal"/>
    <w:link w:val="FooterChar"/>
    <w:uiPriority w:val="99"/>
    <w:unhideWhenUsed/>
    <w:rsid w:val="00F63C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CEC"/>
  </w:style>
  <w:style w:type="paragraph" w:styleId="FootnoteText">
    <w:name w:val="footnote text"/>
    <w:basedOn w:val="Normal"/>
    <w:link w:val="FootnoteTextChar"/>
    <w:uiPriority w:val="99"/>
    <w:semiHidden/>
    <w:unhideWhenUsed/>
    <w:rsid w:val="00D04A0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4A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4A0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6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2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358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632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12</cp:revision>
  <cp:lastPrinted>2016-02-07T02:36:00Z</cp:lastPrinted>
  <dcterms:created xsi:type="dcterms:W3CDTF">2016-02-04T20:35:00Z</dcterms:created>
  <dcterms:modified xsi:type="dcterms:W3CDTF">2016-04-20T01:27:00Z</dcterms:modified>
</cp:coreProperties>
</file>