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C4B" w:rsidRPr="00A26C4B" w:rsidRDefault="00617354" w:rsidP="00A26C4B">
      <w:pPr>
        <w:bidi/>
        <w:spacing w:line="276" w:lineRule="auto"/>
        <w:jc w:val="both"/>
        <w:rPr>
          <w:b/>
          <w:bCs/>
        </w:rPr>
      </w:pPr>
      <w:bookmarkStart w:id="0" w:name="_GoBack"/>
      <w:bookmarkEnd w:id="0"/>
      <w:r w:rsidRPr="00617354">
        <w:rPr>
          <w:rFonts w:hint="cs"/>
          <w:b/>
          <w:bCs/>
          <w:sz w:val="36"/>
          <w:szCs w:val="36"/>
          <w:rtl/>
        </w:rPr>
        <w:t>שיטתיה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617354">
        <w:rPr>
          <w:rFonts w:hint="cs"/>
          <w:b/>
          <w:bCs/>
          <w:sz w:val="32"/>
          <w:szCs w:val="32"/>
          <w:rtl/>
        </w:rPr>
        <w:t>לסבא</w:t>
      </w:r>
      <w:r w:rsidR="00A26C4B">
        <w:rPr>
          <w:rFonts w:hint="cs"/>
          <w:b/>
          <w:bCs/>
          <w:sz w:val="32"/>
          <w:szCs w:val="32"/>
          <w:rtl/>
        </w:rPr>
        <w:t xml:space="preserve"> </w:t>
      </w:r>
      <w:r w:rsidR="00A26C4B">
        <w:rPr>
          <w:b/>
          <w:bCs/>
          <w:sz w:val="32"/>
          <w:szCs w:val="32"/>
          <w:rtl/>
        </w:rPr>
        <w:t>–</w:t>
      </w:r>
      <w:r w:rsidR="00A26C4B">
        <w:rPr>
          <w:rFonts w:hint="cs"/>
          <w:b/>
          <w:bCs/>
          <w:sz w:val="32"/>
          <w:szCs w:val="32"/>
          <w:rtl/>
        </w:rPr>
        <w:t xml:space="preserve"> </w:t>
      </w:r>
      <w:r w:rsidR="00A26C4B">
        <w:rPr>
          <w:b/>
          <w:bCs/>
          <w:sz w:val="32"/>
          <w:szCs w:val="32"/>
        </w:rPr>
        <w:t xml:space="preserve">The (custom) [myrtle] </w:t>
      </w:r>
      <w:r w:rsidR="00A26C4B">
        <w:rPr>
          <w:sz w:val="32"/>
          <w:szCs w:val="32"/>
        </w:rPr>
        <w:t xml:space="preserve">was an aid </w:t>
      </w:r>
      <w:r w:rsidR="00A26C4B">
        <w:rPr>
          <w:b/>
          <w:bCs/>
          <w:sz w:val="32"/>
          <w:szCs w:val="32"/>
        </w:rPr>
        <w:t xml:space="preserve">for the elder     </w:t>
      </w:r>
    </w:p>
    <w:p w:rsidR="00617354" w:rsidRPr="00A26C4B" w:rsidRDefault="00C60B0E" w:rsidP="00A26C4B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A26C4B">
        <w:rPr>
          <w:rFonts w:ascii="Copperplate Gothic Bold" w:hAnsi="Copperplate Gothic Bold"/>
          <w:sz w:val="28"/>
          <w:szCs w:val="28"/>
          <w:u w:val="double"/>
        </w:rPr>
        <w:t>Overview</w:t>
      </w:r>
    </w:p>
    <w:p w:rsidR="00C60B0E" w:rsidRPr="00C60B0E" w:rsidRDefault="00C60B0E" w:rsidP="00A26C4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>
        <w:rPr>
          <w:rFonts w:hint="cs"/>
          <w:sz w:val="28"/>
          <w:szCs w:val="28"/>
          <w:rtl/>
        </w:rPr>
        <w:t>ר"ש בר ר"י</w:t>
      </w:r>
      <w:r>
        <w:rPr>
          <w:sz w:val="28"/>
          <w:szCs w:val="28"/>
        </w:rPr>
        <w:t xml:space="preserve"> passed away a pillar of fire separated him from the rest of the people. </w:t>
      </w:r>
      <w:r>
        <w:rPr>
          <w:rFonts w:hint="cs"/>
          <w:sz w:val="28"/>
          <w:szCs w:val="28"/>
          <w:rtl/>
        </w:rPr>
        <w:t>ר' זירא</w:t>
      </w:r>
      <w:r w:rsidR="00E31CDA">
        <w:rPr>
          <w:sz w:val="28"/>
          <w:szCs w:val="28"/>
        </w:rPr>
        <w:t xml:space="preserve"> commented that this was due to his style of dancing before the </w:t>
      </w:r>
      <w:r w:rsidR="00E31CDA">
        <w:rPr>
          <w:rFonts w:hint="cs"/>
          <w:sz w:val="28"/>
          <w:szCs w:val="28"/>
          <w:rtl/>
        </w:rPr>
        <w:t>כלה</w:t>
      </w:r>
      <w:r w:rsidR="00E31CDA">
        <w:rPr>
          <w:sz w:val="28"/>
          <w:szCs w:val="28"/>
        </w:rPr>
        <w:t xml:space="preserve">. There are three versions as to how </w:t>
      </w:r>
      <w:r w:rsidR="00E31CDA">
        <w:rPr>
          <w:rFonts w:hint="cs"/>
          <w:sz w:val="28"/>
          <w:szCs w:val="28"/>
          <w:rtl/>
        </w:rPr>
        <w:t>ר' זירא</w:t>
      </w:r>
      <w:r w:rsidR="00E31CDA">
        <w:rPr>
          <w:sz w:val="28"/>
          <w:szCs w:val="28"/>
        </w:rPr>
        <w:t xml:space="preserve"> actually expressed this thought.  The last version was that </w:t>
      </w:r>
      <w:r w:rsidR="00E31CDA">
        <w:rPr>
          <w:rFonts w:hint="cs"/>
          <w:sz w:val="28"/>
          <w:szCs w:val="28"/>
          <w:rtl/>
        </w:rPr>
        <w:t>אהני שיטתיה לסבא</w:t>
      </w:r>
      <w:r w:rsidR="00E31CDA">
        <w:rPr>
          <w:sz w:val="28"/>
          <w:szCs w:val="28"/>
        </w:rPr>
        <w:t xml:space="preserve">. </w:t>
      </w:r>
      <w:r w:rsidR="00E31CDA">
        <w:rPr>
          <w:rFonts w:hint="cs"/>
          <w:sz w:val="28"/>
          <w:szCs w:val="28"/>
          <w:rtl/>
        </w:rPr>
        <w:t>רש"י</w:t>
      </w:r>
      <w:r w:rsidR="00E31CDA">
        <w:rPr>
          <w:sz w:val="28"/>
          <w:szCs w:val="28"/>
        </w:rPr>
        <w:t xml:space="preserve"> explains the word </w:t>
      </w:r>
      <w:r w:rsidR="00E31CDA">
        <w:rPr>
          <w:rFonts w:hint="cs"/>
          <w:sz w:val="28"/>
          <w:szCs w:val="28"/>
          <w:rtl/>
        </w:rPr>
        <w:t>שיטתיה</w:t>
      </w:r>
      <w:r w:rsidR="00E31CDA">
        <w:rPr>
          <w:sz w:val="28"/>
          <w:szCs w:val="28"/>
        </w:rPr>
        <w:t xml:space="preserve"> to mean his </w:t>
      </w:r>
      <w:r w:rsidR="00E31CDA">
        <w:rPr>
          <w:rFonts w:hint="cs"/>
          <w:sz w:val="28"/>
          <w:szCs w:val="28"/>
          <w:rtl/>
        </w:rPr>
        <w:t>שיטה</w:t>
      </w:r>
      <w:r w:rsidR="00E31CDA">
        <w:rPr>
          <w:sz w:val="28"/>
          <w:szCs w:val="28"/>
        </w:rPr>
        <w:t xml:space="preserve">; his style and approach. </w:t>
      </w:r>
      <w:r w:rsidR="00E31CDA">
        <w:rPr>
          <w:rFonts w:hint="cs"/>
          <w:sz w:val="28"/>
          <w:szCs w:val="28"/>
          <w:rtl/>
        </w:rPr>
        <w:t>תוספות</w:t>
      </w:r>
      <w:r w:rsidR="00E31CDA">
        <w:rPr>
          <w:sz w:val="28"/>
          <w:szCs w:val="28"/>
        </w:rPr>
        <w:t xml:space="preserve"> offers a different interpretation.</w:t>
      </w:r>
    </w:p>
    <w:p w:rsidR="00617354" w:rsidRDefault="0041066D" w:rsidP="00A26C4B">
      <w:pPr>
        <w:spacing w:line="276" w:lineRule="auto"/>
        <w:jc w:val="center"/>
      </w:pPr>
      <w:r>
        <w:t>------------------</w:t>
      </w:r>
    </w:p>
    <w:p w:rsidR="00A26C4B" w:rsidRPr="00D91F0E" w:rsidRDefault="00617354" w:rsidP="00D91F0E">
      <w:pPr>
        <w:bidi/>
        <w:spacing w:line="276" w:lineRule="auto"/>
        <w:jc w:val="both"/>
        <w:rPr>
          <w:b/>
          <w:bCs/>
          <w:sz w:val="28"/>
          <w:szCs w:val="28"/>
        </w:rPr>
      </w:pPr>
      <w:r w:rsidRPr="00D91F0E">
        <w:rPr>
          <w:rFonts w:cs="David" w:hint="cs"/>
          <w:b/>
          <w:bCs/>
          <w:sz w:val="28"/>
          <w:szCs w:val="28"/>
          <w:rtl/>
        </w:rPr>
        <w:t>פירש רבינו חננאל</w:t>
      </w:r>
      <w:r w:rsidR="00A26C4B" w:rsidRPr="00D91F0E">
        <w:rPr>
          <w:rFonts w:cs="David" w:hint="cs"/>
          <w:b/>
          <w:bCs/>
          <w:sz w:val="28"/>
          <w:szCs w:val="28"/>
          <w:rtl/>
        </w:rPr>
        <w:t xml:space="preserve"> מלשון שטה והדס</w:t>
      </w:r>
      <w:r w:rsidR="00A26C4B" w:rsidRPr="00D91F0E">
        <w:rPr>
          <w:rFonts w:cs="David" w:hint="cs"/>
          <w:b/>
          <w:bCs/>
          <w:sz w:val="20"/>
          <w:szCs w:val="20"/>
          <w:rtl/>
        </w:rPr>
        <w:t xml:space="preserve"> (ישעיה מ"א</w:t>
      </w:r>
      <w:r w:rsidR="00A26C4B" w:rsidRPr="00D91F0E">
        <w:rPr>
          <w:rStyle w:val="FootnoteReference"/>
          <w:rFonts w:cs="David"/>
          <w:b/>
          <w:bCs/>
          <w:sz w:val="20"/>
          <w:szCs w:val="20"/>
          <w:rtl/>
        </w:rPr>
        <w:footnoteReference w:id="1"/>
      </w:r>
      <w:r w:rsidR="00A26C4B" w:rsidRPr="00D91F0E">
        <w:rPr>
          <w:rFonts w:cs="David" w:hint="cs"/>
          <w:b/>
          <w:bCs/>
          <w:sz w:val="20"/>
          <w:szCs w:val="20"/>
          <w:rtl/>
        </w:rPr>
        <w:t>)</w:t>
      </w:r>
      <w:r w:rsidRPr="00D91F0E">
        <w:rPr>
          <w:rFonts w:cs="David"/>
          <w:b/>
          <w:bCs/>
          <w:sz w:val="28"/>
          <w:szCs w:val="28"/>
        </w:rPr>
        <w:t xml:space="preserve"> </w:t>
      </w:r>
      <w:r w:rsidR="00D91F0E">
        <w:rPr>
          <w:rFonts w:cs="David" w:hint="cs"/>
          <w:b/>
          <w:bCs/>
          <w:sz w:val="28"/>
          <w:szCs w:val="28"/>
          <w:rtl/>
        </w:rPr>
        <w:t>-</w:t>
      </w:r>
      <w:r w:rsidRPr="00D91F0E">
        <w:rPr>
          <w:b/>
          <w:bCs/>
          <w:sz w:val="28"/>
          <w:szCs w:val="28"/>
        </w:rPr>
        <w:t xml:space="preserve"> </w:t>
      </w:r>
    </w:p>
    <w:p w:rsidR="00617354" w:rsidRPr="0041066D" w:rsidRDefault="00617354" w:rsidP="00A26C4B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The </w:t>
      </w:r>
      <w:r>
        <w:rPr>
          <w:rFonts w:hint="cs"/>
          <w:b/>
          <w:bCs/>
          <w:sz w:val="28"/>
          <w:szCs w:val="28"/>
          <w:rtl/>
        </w:rPr>
        <w:t>ר"ח</w:t>
      </w:r>
      <w:r>
        <w:rPr>
          <w:b/>
          <w:bCs/>
          <w:sz w:val="28"/>
          <w:szCs w:val="28"/>
        </w:rPr>
        <w:t xml:space="preserve"> interpreted</w:t>
      </w:r>
      <w:r w:rsidR="00993AE7">
        <w:rPr>
          <w:b/>
          <w:bCs/>
          <w:sz w:val="28"/>
          <w:szCs w:val="28"/>
        </w:rPr>
        <w:t xml:space="preserve"> </w:t>
      </w:r>
      <w:r w:rsidR="00993AE7" w:rsidRPr="00A26C4B">
        <w:rPr>
          <w:sz w:val="28"/>
          <w:szCs w:val="28"/>
        </w:rPr>
        <w:t xml:space="preserve">the word </w:t>
      </w:r>
      <w:r w:rsidR="00D91F0E" w:rsidRPr="00A26C4B">
        <w:rPr>
          <w:rFonts w:hint="cs"/>
          <w:sz w:val="28"/>
          <w:szCs w:val="28"/>
          <w:rtl/>
        </w:rPr>
        <w:t>שיטתיה</w:t>
      </w:r>
      <w:r w:rsidR="00D91F0E" w:rsidRPr="00A26C4B">
        <w:rPr>
          <w:sz w:val="28"/>
          <w:szCs w:val="28"/>
        </w:rPr>
        <w:t xml:space="preserve"> that</w:t>
      </w:r>
      <w:r w:rsidR="00993AE7" w:rsidRPr="00A26C4B">
        <w:rPr>
          <w:sz w:val="28"/>
          <w:szCs w:val="28"/>
        </w:rPr>
        <w:t xml:space="preserve"> it is </w:t>
      </w:r>
      <w:r w:rsidR="00993AE7">
        <w:rPr>
          <w:b/>
          <w:bCs/>
          <w:sz w:val="28"/>
          <w:szCs w:val="28"/>
        </w:rPr>
        <w:t xml:space="preserve">from the </w:t>
      </w:r>
      <w:r w:rsidR="008304C3">
        <w:rPr>
          <w:b/>
          <w:bCs/>
          <w:sz w:val="28"/>
          <w:szCs w:val="28"/>
        </w:rPr>
        <w:t>expression</w:t>
      </w:r>
      <w:r w:rsidR="00E31CDA">
        <w:rPr>
          <w:sz w:val="28"/>
          <w:szCs w:val="28"/>
        </w:rPr>
        <w:t xml:space="preserve"> in a </w:t>
      </w:r>
      <w:r w:rsidR="00E31CDA">
        <w:rPr>
          <w:rFonts w:hint="cs"/>
          <w:sz w:val="28"/>
          <w:szCs w:val="28"/>
          <w:rtl/>
        </w:rPr>
        <w:t>פסוק</w:t>
      </w:r>
      <w:r w:rsidR="008304C3">
        <w:rPr>
          <w:b/>
          <w:bCs/>
          <w:sz w:val="28"/>
          <w:szCs w:val="28"/>
        </w:rPr>
        <w:t xml:space="preserve"> ‘</w:t>
      </w:r>
      <w:r w:rsidR="00F2229C">
        <w:rPr>
          <w:b/>
          <w:bCs/>
          <w:sz w:val="28"/>
          <w:szCs w:val="28"/>
        </w:rPr>
        <w:t xml:space="preserve">a </w:t>
      </w:r>
      <w:r w:rsidR="00F2229C">
        <w:rPr>
          <w:rFonts w:hint="cs"/>
          <w:b/>
          <w:bCs/>
          <w:sz w:val="28"/>
          <w:szCs w:val="28"/>
          <w:rtl/>
        </w:rPr>
        <w:t>שטה</w:t>
      </w:r>
      <w:r w:rsidR="00F2229C">
        <w:rPr>
          <w:b/>
          <w:bCs/>
          <w:sz w:val="28"/>
          <w:szCs w:val="28"/>
        </w:rPr>
        <w:t xml:space="preserve"> </w:t>
      </w:r>
      <w:r w:rsidR="00F2229C">
        <w:rPr>
          <w:sz w:val="28"/>
          <w:szCs w:val="28"/>
        </w:rPr>
        <w:t xml:space="preserve">tree </w:t>
      </w:r>
      <w:r w:rsidR="00F2229C">
        <w:rPr>
          <w:b/>
          <w:bCs/>
          <w:sz w:val="28"/>
          <w:szCs w:val="28"/>
        </w:rPr>
        <w:t xml:space="preserve">and a myrtle </w:t>
      </w:r>
      <w:r w:rsidR="00F2229C" w:rsidRPr="0041066D">
        <w:t>tree</w:t>
      </w:r>
      <w:r w:rsidR="008304C3" w:rsidRPr="0041066D">
        <w:t>’</w:t>
      </w:r>
      <w:r w:rsidR="00F2229C" w:rsidRPr="0041066D">
        <w:t xml:space="preserve">. He was referring to the </w:t>
      </w:r>
      <w:r w:rsidR="00F2229C" w:rsidRPr="0041066D">
        <w:rPr>
          <w:rFonts w:hint="cs"/>
          <w:rtl/>
        </w:rPr>
        <w:t>הדס</w:t>
      </w:r>
      <w:r w:rsidR="00F2229C" w:rsidRPr="0041066D">
        <w:t xml:space="preserve"> (myrtle) as a </w:t>
      </w:r>
      <w:r w:rsidR="00F2229C" w:rsidRPr="0041066D">
        <w:rPr>
          <w:rFonts w:hint="cs"/>
          <w:rtl/>
        </w:rPr>
        <w:t>שטה</w:t>
      </w:r>
      <w:r w:rsidR="00F2229C" w:rsidRPr="0041066D">
        <w:t>.</w:t>
      </w:r>
    </w:p>
    <w:p w:rsidR="00A26C4B" w:rsidRPr="00D91F0E" w:rsidRDefault="00F2229C" w:rsidP="00D91F0E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D91F0E">
        <w:rPr>
          <w:rFonts w:cs="David" w:hint="cs"/>
          <w:b/>
          <w:bCs/>
          <w:sz w:val="28"/>
          <w:szCs w:val="28"/>
          <w:rtl/>
        </w:rPr>
        <w:t>אף על גב דלא הוי ממש מין אחד</w:t>
      </w:r>
      <w:r w:rsidR="00A26C4B" w:rsidRPr="00D91F0E">
        <w:rPr>
          <w:rFonts w:cs="David" w:hint="cs"/>
          <w:b/>
          <w:bCs/>
          <w:sz w:val="28"/>
          <w:szCs w:val="28"/>
          <w:rtl/>
        </w:rPr>
        <w:t xml:space="preserve"> מכל מקום שניהם מין ארז</w:t>
      </w:r>
      <w:r w:rsidR="00D91F0E">
        <w:rPr>
          <w:rStyle w:val="FootnoteReference"/>
          <w:rFonts w:cs="David"/>
          <w:b/>
          <w:bCs/>
          <w:sz w:val="28"/>
          <w:szCs w:val="28"/>
          <w:rtl/>
        </w:rPr>
        <w:footnoteReference w:id="2"/>
      </w:r>
      <w:r w:rsidR="00A26C4B" w:rsidRPr="00D91F0E">
        <w:rPr>
          <w:rFonts w:cs="David" w:hint="cs"/>
          <w:b/>
          <w:bCs/>
          <w:sz w:val="28"/>
          <w:szCs w:val="28"/>
          <w:rtl/>
        </w:rPr>
        <w:t xml:space="preserve"> -</w:t>
      </w:r>
    </w:p>
    <w:p w:rsidR="00F2229C" w:rsidRPr="0041066D" w:rsidRDefault="00A26C4B" w:rsidP="00A26C4B">
      <w:pPr>
        <w:spacing w:line="276" w:lineRule="auto"/>
        <w:jc w:val="both"/>
      </w:pPr>
      <w:r>
        <w:rPr>
          <w:b/>
          <w:bCs/>
          <w:sz w:val="28"/>
          <w:szCs w:val="28"/>
        </w:rPr>
        <w:t>Even</w:t>
      </w:r>
      <w:r w:rsidR="00F2229C">
        <w:rPr>
          <w:b/>
          <w:bCs/>
          <w:sz w:val="28"/>
          <w:szCs w:val="28"/>
        </w:rPr>
        <w:t xml:space="preserve"> though </w:t>
      </w:r>
      <w:r w:rsidR="00F2229C">
        <w:rPr>
          <w:sz w:val="28"/>
          <w:szCs w:val="28"/>
        </w:rPr>
        <w:t xml:space="preserve">the </w:t>
      </w:r>
      <w:r w:rsidR="00F2229C">
        <w:rPr>
          <w:rFonts w:hint="cs"/>
          <w:sz w:val="28"/>
          <w:szCs w:val="28"/>
          <w:rtl/>
        </w:rPr>
        <w:t>שטה</w:t>
      </w:r>
      <w:r w:rsidR="00F2229C">
        <w:rPr>
          <w:sz w:val="28"/>
          <w:szCs w:val="28"/>
        </w:rPr>
        <w:t xml:space="preserve"> and the </w:t>
      </w:r>
      <w:r w:rsidR="00F2229C">
        <w:rPr>
          <w:rFonts w:hint="cs"/>
          <w:sz w:val="28"/>
          <w:szCs w:val="28"/>
          <w:rtl/>
        </w:rPr>
        <w:t>הדס</w:t>
      </w:r>
      <w:r w:rsidR="00F2229C">
        <w:rPr>
          <w:sz w:val="28"/>
          <w:szCs w:val="28"/>
        </w:rPr>
        <w:t xml:space="preserve"> </w:t>
      </w:r>
      <w:r w:rsidR="00F2229C">
        <w:rPr>
          <w:b/>
          <w:bCs/>
          <w:sz w:val="28"/>
          <w:szCs w:val="28"/>
        </w:rPr>
        <w:t>are not exactly one species</w:t>
      </w:r>
      <w:r>
        <w:rPr>
          <w:b/>
          <w:bCs/>
          <w:sz w:val="28"/>
          <w:szCs w:val="28"/>
        </w:rPr>
        <w:t>,</w:t>
      </w:r>
      <w:r w:rsidR="00F2229C">
        <w:rPr>
          <w:b/>
          <w:bCs/>
          <w:sz w:val="28"/>
          <w:szCs w:val="28"/>
        </w:rPr>
        <w:t xml:space="preserve"> nevertheless they are both a type of </w:t>
      </w:r>
      <w:r w:rsidR="00F2229C">
        <w:rPr>
          <w:rFonts w:hint="cs"/>
          <w:b/>
          <w:bCs/>
          <w:sz w:val="28"/>
          <w:szCs w:val="28"/>
          <w:rtl/>
        </w:rPr>
        <w:t>אר</w:t>
      </w:r>
      <w:r w:rsidR="00E31CDA">
        <w:rPr>
          <w:rFonts w:hint="cs"/>
          <w:b/>
          <w:bCs/>
          <w:sz w:val="28"/>
          <w:szCs w:val="28"/>
          <w:rtl/>
        </w:rPr>
        <w:t>ז</w:t>
      </w:r>
      <w:r w:rsidR="00F2229C">
        <w:rPr>
          <w:b/>
          <w:bCs/>
          <w:sz w:val="28"/>
          <w:szCs w:val="28"/>
        </w:rPr>
        <w:t xml:space="preserve"> (cedar).</w:t>
      </w:r>
      <w:r w:rsidR="00F2229C">
        <w:rPr>
          <w:sz w:val="28"/>
          <w:szCs w:val="28"/>
        </w:rPr>
        <w:t xml:space="preserve"> </w:t>
      </w:r>
      <w:r w:rsidR="00F2229C" w:rsidRPr="0041066D">
        <w:t xml:space="preserve">Therefore it is appropriate to refer to the </w:t>
      </w:r>
      <w:r w:rsidR="00F2229C" w:rsidRPr="0041066D">
        <w:rPr>
          <w:rFonts w:hint="cs"/>
          <w:rtl/>
        </w:rPr>
        <w:t>הדס</w:t>
      </w:r>
      <w:r w:rsidR="00F2229C" w:rsidRPr="0041066D">
        <w:t xml:space="preserve"> as a </w:t>
      </w:r>
      <w:r w:rsidR="00F2229C" w:rsidRPr="0041066D">
        <w:rPr>
          <w:rFonts w:hint="cs"/>
          <w:rtl/>
        </w:rPr>
        <w:t>שטה</w:t>
      </w:r>
      <w:r w:rsidR="00F2229C" w:rsidRPr="0041066D">
        <w:t>.</w:t>
      </w:r>
    </w:p>
    <w:p w:rsidR="008304C3" w:rsidRPr="0041066D" w:rsidRDefault="008304C3" w:rsidP="00A26C4B">
      <w:pPr>
        <w:spacing w:line="276" w:lineRule="auto"/>
        <w:jc w:val="both"/>
      </w:pPr>
    </w:p>
    <w:p w:rsidR="008304C3" w:rsidRPr="0041066D" w:rsidRDefault="008304C3" w:rsidP="00A26C4B">
      <w:pPr>
        <w:spacing w:line="276" w:lineRule="auto"/>
        <w:jc w:val="both"/>
      </w:pPr>
      <w:r w:rsidRPr="0041066D">
        <w:rPr>
          <w:rFonts w:hint="cs"/>
          <w:rtl/>
        </w:rPr>
        <w:t>תוספות</w:t>
      </w:r>
      <w:r w:rsidRPr="0041066D">
        <w:t xml:space="preserve"> asks:</w:t>
      </w:r>
    </w:p>
    <w:p w:rsidR="00A26C4B" w:rsidRPr="00A26C4B" w:rsidRDefault="008304C3" w:rsidP="00A26C4B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A26C4B">
        <w:rPr>
          <w:rFonts w:cs="David" w:hint="cs"/>
          <w:b/>
          <w:bCs/>
          <w:sz w:val="28"/>
          <w:szCs w:val="28"/>
          <w:rtl/>
        </w:rPr>
        <w:t>ואם תאמר ומנא ליה</w:t>
      </w:r>
      <w:r w:rsidR="00A26C4B" w:rsidRPr="00A26C4B">
        <w:rPr>
          <w:rFonts w:cs="David" w:hint="cs"/>
          <w:b/>
          <w:bCs/>
          <w:sz w:val="28"/>
          <w:szCs w:val="28"/>
          <w:rtl/>
        </w:rPr>
        <w:t xml:space="preserve"> דבשביל כן זכה</w:t>
      </w:r>
      <w:r w:rsidR="00A26C4B" w:rsidRPr="00B00C27">
        <w:rPr>
          <w:rStyle w:val="FootnoteReference"/>
          <w:rFonts w:cs="David"/>
          <w:b/>
          <w:bCs/>
          <w:sz w:val="28"/>
          <w:szCs w:val="28"/>
          <w:rtl/>
        </w:rPr>
        <w:footnoteReference w:id="3"/>
      </w:r>
      <w:r w:rsidR="00A26C4B" w:rsidRPr="00B00C27">
        <w:rPr>
          <w:rFonts w:cs="David" w:hint="cs"/>
          <w:b/>
          <w:bCs/>
          <w:sz w:val="28"/>
          <w:szCs w:val="28"/>
          <w:rtl/>
        </w:rPr>
        <w:t xml:space="preserve"> </w:t>
      </w:r>
      <w:r w:rsidR="00A26C4B">
        <w:rPr>
          <w:rFonts w:cs="David" w:hint="cs"/>
          <w:b/>
          <w:bCs/>
          <w:sz w:val="28"/>
          <w:szCs w:val="28"/>
          <w:rtl/>
        </w:rPr>
        <w:t>-</w:t>
      </w:r>
      <w:r w:rsidRPr="00A26C4B">
        <w:rPr>
          <w:rFonts w:cs="David"/>
          <w:b/>
          <w:bCs/>
          <w:sz w:val="28"/>
          <w:szCs w:val="28"/>
        </w:rPr>
        <w:t xml:space="preserve"> </w:t>
      </w:r>
    </w:p>
    <w:p w:rsidR="008304C3" w:rsidRDefault="00A26C4B" w:rsidP="00A26C4B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</w:t>
      </w:r>
      <w:r w:rsidR="008304C3">
        <w:rPr>
          <w:b/>
          <w:bCs/>
          <w:sz w:val="28"/>
          <w:szCs w:val="28"/>
        </w:rPr>
        <w:t xml:space="preserve"> if you will say</w:t>
      </w:r>
      <w:r>
        <w:rPr>
          <w:b/>
          <w:bCs/>
          <w:sz w:val="28"/>
          <w:szCs w:val="28"/>
        </w:rPr>
        <w:t>;</w:t>
      </w:r>
      <w:r w:rsidR="008304C3">
        <w:rPr>
          <w:b/>
          <w:bCs/>
          <w:sz w:val="28"/>
          <w:szCs w:val="28"/>
        </w:rPr>
        <w:t xml:space="preserve"> how did </w:t>
      </w:r>
      <w:r w:rsidR="00716EFD">
        <w:rPr>
          <w:rFonts w:hint="cs"/>
          <w:b/>
          <w:bCs/>
          <w:sz w:val="28"/>
          <w:szCs w:val="28"/>
          <w:rtl/>
        </w:rPr>
        <w:t>ר' זירא</w:t>
      </w:r>
      <w:r w:rsidR="008304C3">
        <w:rPr>
          <w:b/>
          <w:bCs/>
          <w:sz w:val="28"/>
          <w:szCs w:val="28"/>
        </w:rPr>
        <w:t xml:space="preserve"> know that </w:t>
      </w:r>
      <w:r>
        <w:rPr>
          <w:rFonts w:hint="cs"/>
          <w:sz w:val="28"/>
          <w:szCs w:val="28"/>
          <w:rtl/>
        </w:rPr>
        <w:t>ר"</w:t>
      </w:r>
      <w:r w:rsidR="00257F6C">
        <w:rPr>
          <w:rFonts w:hint="cs"/>
          <w:sz w:val="28"/>
          <w:szCs w:val="28"/>
          <w:rtl/>
        </w:rPr>
        <w:t>ש</w:t>
      </w:r>
      <w:r>
        <w:rPr>
          <w:rFonts w:hint="cs"/>
          <w:sz w:val="28"/>
          <w:szCs w:val="28"/>
          <w:rtl/>
        </w:rPr>
        <w:t xml:space="preserve"> בר"י</w:t>
      </w:r>
      <w:r w:rsidR="008304C3">
        <w:rPr>
          <w:b/>
          <w:bCs/>
          <w:sz w:val="28"/>
          <w:szCs w:val="28"/>
        </w:rPr>
        <w:t xml:space="preserve"> merited </w:t>
      </w:r>
      <w:r w:rsidR="008304C3">
        <w:rPr>
          <w:sz w:val="28"/>
          <w:szCs w:val="28"/>
        </w:rPr>
        <w:t xml:space="preserve">the fire surrounding him </w:t>
      </w:r>
      <w:r w:rsidR="008304C3">
        <w:rPr>
          <w:b/>
          <w:bCs/>
          <w:sz w:val="28"/>
          <w:szCs w:val="28"/>
        </w:rPr>
        <w:t>on account</w:t>
      </w:r>
      <w:r w:rsidR="009B3817">
        <w:rPr>
          <w:b/>
          <w:bCs/>
          <w:sz w:val="28"/>
          <w:szCs w:val="28"/>
        </w:rPr>
        <w:t xml:space="preserve"> of the</w:t>
      </w:r>
      <w:r w:rsidR="0041066D">
        <w:t xml:space="preserve"> dancing with the</w:t>
      </w:r>
      <w:r w:rsidR="009B3817">
        <w:rPr>
          <w:b/>
          <w:bCs/>
          <w:sz w:val="28"/>
          <w:szCs w:val="28"/>
        </w:rPr>
        <w:t xml:space="preserve"> </w:t>
      </w:r>
      <w:r w:rsidR="0041066D" w:rsidRPr="0041066D">
        <w:rPr>
          <w:rFonts w:hint="cs"/>
          <w:rtl/>
        </w:rPr>
        <w:t>הדס</w:t>
      </w:r>
      <w:r w:rsidR="009B3817" w:rsidRPr="00D91F0E">
        <w:t>?</w:t>
      </w:r>
    </w:p>
    <w:p w:rsidR="00716EFD" w:rsidRPr="0041066D" w:rsidRDefault="00716EFD" w:rsidP="00A26C4B">
      <w:pPr>
        <w:spacing w:line="276" w:lineRule="auto"/>
        <w:jc w:val="both"/>
        <w:rPr>
          <w:b/>
          <w:bCs/>
        </w:rPr>
      </w:pPr>
    </w:p>
    <w:p w:rsidR="00716EFD" w:rsidRPr="0041066D" w:rsidRDefault="00716EFD" w:rsidP="00A26C4B">
      <w:pPr>
        <w:spacing w:line="276" w:lineRule="auto"/>
        <w:jc w:val="both"/>
      </w:pPr>
      <w:r w:rsidRPr="0041066D">
        <w:rPr>
          <w:rFonts w:hint="cs"/>
          <w:rtl/>
        </w:rPr>
        <w:t>תוספות</w:t>
      </w:r>
      <w:r w:rsidRPr="0041066D">
        <w:t xml:space="preserve"> answers:</w:t>
      </w:r>
    </w:p>
    <w:p w:rsidR="00E93B90" w:rsidRPr="00D91F0E" w:rsidRDefault="00716EFD" w:rsidP="00D91F0E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D91F0E">
        <w:rPr>
          <w:rFonts w:cs="David" w:hint="cs"/>
          <w:b/>
          <w:bCs/>
          <w:sz w:val="28"/>
          <w:szCs w:val="28"/>
          <w:rtl/>
        </w:rPr>
        <w:t>ויש לומר  דעמוד דנורא</w:t>
      </w:r>
      <w:r w:rsidR="00E93B90" w:rsidRPr="00D91F0E">
        <w:rPr>
          <w:rFonts w:cs="David" w:hint="cs"/>
          <w:b/>
          <w:bCs/>
          <w:sz w:val="28"/>
          <w:szCs w:val="28"/>
          <w:rtl/>
        </w:rPr>
        <w:t xml:space="preserve"> היה כעין שיבשא דהדס</w:t>
      </w:r>
      <w:r w:rsidRPr="00D91F0E">
        <w:rPr>
          <w:rFonts w:cs="David"/>
          <w:b/>
          <w:bCs/>
          <w:sz w:val="28"/>
          <w:szCs w:val="28"/>
        </w:rPr>
        <w:t xml:space="preserve"> </w:t>
      </w:r>
      <w:r w:rsidR="00D91F0E">
        <w:rPr>
          <w:rFonts w:cs="David" w:hint="cs"/>
          <w:b/>
          <w:bCs/>
          <w:sz w:val="28"/>
          <w:szCs w:val="28"/>
          <w:rtl/>
        </w:rPr>
        <w:t>-</w:t>
      </w:r>
      <w:r w:rsidRPr="00D91F0E">
        <w:rPr>
          <w:rFonts w:cs="David"/>
          <w:b/>
          <w:bCs/>
          <w:sz w:val="28"/>
          <w:szCs w:val="28"/>
        </w:rPr>
        <w:t xml:space="preserve"> </w:t>
      </w:r>
    </w:p>
    <w:p w:rsidR="00716EFD" w:rsidRDefault="00E93B90" w:rsidP="00E93B9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</w:t>
      </w:r>
      <w:r w:rsidR="00716EFD">
        <w:rPr>
          <w:b/>
          <w:bCs/>
          <w:sz w:val="28"/>
          <w:szCs w:val="28"/>
        </w:rPr>
        <w:t xml:space="preserve"> one can say</w:t>
      </w:r>
      <w:r w:rsidR="00036644">
        <w:rPr>
          <w:b/>
          <w:bCs/>
          <w:sz w:val="28"/>
          <w:szCs w:val="28"/>
        </w:rPr>
        <w:t>,</w:t>
      </w:r>
      <w:r w:rsidR="00716EFD">
        <w:rPr>
          <w:b/>
          <w:bCs/>
          <w:sz w:val="28"/>
          <w:szCs w:val="28"/>
        </w:rPr>
        <w:t xml:space="preserve"> that the pillar of fire </w:t>
      </w:r>
      <w:r w:rsidR="00716EFD" w:rsidRPr="00E93B90">
        <w:rPr>
          <w:sz w:val="28"/>
          <w:szCs w:val="28"/>
        </w:rPr>
        <w:t xml:space="preserve">that surrounded </w:t>
      </w:r>
      <w:r w:rsidR="00716EFD" w:rsidRPr="00E93B90">
        <w:rPr>
          <w:rFonts w:hint="cs"/>
          <w:sz w:val="28"/>
          <w:szCs w:val="28"/>
          <w:rtl/>
        </w:rPr>
        <w:t>רב שמואל בר רב יצחק</w:t>
      </w:r>
      <w:r w:rsidR="00716EFD" w:rsidRPr="00E93B90">
        <w:rPr>
          <w:rFonts w:hint="cs"/>
          <w:sz w:val="28"/>
          <w:szCs w:val="28"/>
        </w:rPr>
        <w:t xml:space="preserve"> </w:t>
      </w:r>
      <w:r w:rsidR="00716EFD">
        <w:rPr>
          <w:b/>
          <w:bCs/>
          <w:sz w:val="28"/>
          <w:szCs w:val="28"/>
        </w:rPr>
        <w:t xml:space="preserve">was similar </w:t>
      </w:r>
      <w:r w:rsidR="00716EFD">
        <w:rPr>
          <w:sz w:val="28"/>
          <w:szCs w:val="28"/>
        </w:rPr>
        <w:t xml:space="preserve">in appearance </w:t>
      </w:r>
      <w:r w:rsidR="00716EFD">
        <w:rPr>
          <w:b/>
          <w:bCs/>
          <w:sz w:val="28"/>
          <w:szCs w:val="28"/>
        </w:rPr>
        <w:t>to a myrtle branch –</w:t>
      </w:r>
    </w:p>
    <w:p w:rsidR="00E93B90" w:rsidRPr="00D91F0E" w:rsidRDefault="00716EFD" w:rsidP="00D91F0E">
      <w:pPr>
        <w:bidi/>
        <w:spacing w:line="276" w:lineRule="auto"/>
        <w:jc w:val="both"/>
        <w:rPr>
          <w:rFonts w:cs="David"/>
          <w:b/>
          <w:bCs/>
          <w:spacing w:val="-2"/>
          <w:sz w:val="28"/>
          <w:szCs w:val="28"/>
        </w:rPr>
      </w:pPr>
      <w:r w:rsidRPr="00D91F0E">
        <w:rPr>
          <w:rFonts w:cs="David" w:hint="cs"/>
          <w:b/>
          <w:bCs/>
          <w:spacing w:val="-2"/>
          <w:sz w:val="28"/>
          <w:szCs w:val="28"/>
          <w:rtl/>
        </w:rPr>
        <w:t>כדאמרינן בבראשית רבה</w:t>
      </w:r>
      <w:r w:rsidRPr="00D91F0E">
        <w:rPr>
          <w:rFonts w:cs="David" w:hint="cs"/>
          <w:b/>
          <w:bCs/>
          <w:spacing w:val="-2"/>
          <w:sz w:val="20"/>
          <w:szCs w:val="20"/>
          <w:rtl/>
        </w:rPr>
        <w:t xml:space="preserve"> (פרשה סא</w:t>
      </w:r>
      <w:r w:rsidR="000A5128" w:rsidRPr="00D91F0E">
        <w:rPr>
          <w:rStyle w:val="FootnoteReference"/>
          <w:rFonts w:cs="David"/>
          <w:b/>
          <w:bCs/>
          <w:spacing w:val="-2"/>
          <w:sz w:val="20"/>
          <w:szCs w:val="20"/>
          <w:rtl/>
        </w:rPr>
        <w:footnoteReference w:id="4"/>
      </w:r>
      <w:r w:rsidRPr="00D91F0E">
        <w:rPr>
          <w:rFonts w:cs="David" w:hint="cs"/>
          <w:b/>
          <w:bCs/>
          <w:spacing w:val="-2"/>
          <w:sz w:val="20"/>
          <w:szCs w:val="20"/>
          <w:rtl/>
        </w:rPr>
        <w:t>)</w:t>
      </w:r>
      <w:r w:rsidR="00E93B90" w:rsidRPr="00D91F0E">
        <w:rPr>
          <w:rFonts w:cs="David" w:hint="cs"/>
          <w:b/>
          <w:bCs/>
          <w:spacing w:val="-2"/>
          <w:sz w:val="28"/>
          <w:szCs w:val="28"/>
          <w:rtl/>
        </w:rPr>
        <w:t xml:space="preserve"> נחת שיבשא דנורא ואיתעבידא כעין שיבשא דהדס</w:t>
      </w:r>
      <w:r w:rsidRPr="00D91F0E">
        <w:rPr>
          <w:rFonts w:cs="David"/>
          <w:b/>
          <w:bCs/>
          <w:spacing w:val="-2"/>
          <w:sz w:val="20"/>
          <w:szCs w:val="20"/>
        </w:rPr>
        <w:t xml:space="preserve"> </w:t>
      </w:r>
      <w:r w:rsidR="00D91F0E" w:rsidRPr="00D91F0E">
        <w:rPr>
          <w:rFonts w:cs="David" w:hint="cs"/>
          <w:b/>
          <w:bCs/>
          <w:spacing w:val="-2"/>
          <w:sz w:val="28"/>
          <w:szCs w:val="28"/>
          <w:rtl/>
        </w:rPr>
        <w:t>-</w:t>
      </w:r>
      <w:r w:rsidRPr="00D91F0E">
        <w:rPr>
          <w:rFonts w:cs="David"/>
          <w:b/>
          <w:bCs/>
          <w:spacing w:val="-2"/>
          <w:sz w:val="28"/>
          <w:szCs w:val="28"/>
        </w:rPr>
        <w:t xml:space="preserve"> </w:t>
      </w:r>
    </w:p>
    <w:p w:rsidR="00036644" w:rsidRDefault="00D91F0E" w:rsidP="00E93B9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</w:t>
      </w:r>
      <w:r w:rsidR="00716EFD">
        <w:rPr>
          <w:b/>
          <w:bCs/>
          <w:sz w:val="28"/>
          <w:szCs w:val="28"/>
        </w:rPr>
        <w:t xml:space="preserve"> it is stated in </w:t>
      </w:r>
      <w:r w:rsidR="00716EFD">
        <w:rPr>
          <w:rFonts w:hint="cs"/>
          <w:sz w:val="28"/>
          <w:szCs w:val="28"/>
          <w:rtl/>
        </w:rPr>
        <w:t xml:space="preserve">מדרש </w:t>
      </w:r>
      <w:r w:rsidR="00716EFD">
        <w:rPr>
          <w:rFonts w:hint="cs"/>
          <w:b/>
          <w:bCs/>
          <w:sz w:val="28"/>
          <w:szCs w:val="28"/>
          <w:rtl/>
        </w:rPr>
        <w:t>בראשית רבה</w:t>
      </w:r>
      <w:r w:rsidR="00716EFD">
        <w:rPr>
          <w:b/>
          <w:bCs/>
          <w:sz w:val="28"/>
          <w:szCs w:val="28"/>
        </w:rPr>
        <w:t xml:space="preserve"> </w:t>
      </w:r>
      <w:r w:rsidR="00036644" w:rsidRPr="00E93B90">
        <w:rPr>
          <w:sz w:val="28"/>
          <w:szCs w:val="28"/>
        </w:rPr>
        <w:t xml:space="preserve">(concerning the passing of </w:t>
      </w:r>
      <w:r w:rsidR="00036644" w:rsidRPr="00E93B90">
        <w:rPr>
          <w:rFonts w:hint="cs"/>
          <w:sz w:val="28"/>
          <w:szCs w:val="28"/>
          <w:rtl/>
        </w:rPr>
        <w:t>רב שמואל ב"ר יצחק</w:t>
      </w:r>
      <w:r w:rsidR="0041066D" w:rsidRPr="00E93B90">
        <w:rPr>
          <w:sz w:val="28"/>
          <w:szCs w:val="28"/>
        </w:rPr>
        <w:t>)</w:t>
      </w:r>
      <w:r w:rsidR="00036644" w:rsidRPr="00E93B90">
        <w:rPr>
          <w:sz w:val="28"/>
          <w:szCs w:val="28"/>
        </w:rPr>
        <w:t xml:space="preserve"> </w:t>
      </w:r>
      <w:r w:rsidR="00036644">
        <w:rPr>
          <w:b/>
          <w:bCs/>
          <w:sz w:val="28"/>
          <w:szCs w:val="28"/>
        </w:rPr>
        <w:t xml:space="preserve">a column of fire descended and it became similar </w:t>
      </w:r>
      <w:r w:rsidR="00036644">
        <w:rPr>
          <w:sz w:val="28"/>
          <w:szCs w:val="28"/>
        </w:rPr>
        <w:t xml:space="preserve">in form </w:t>
      </w:r>
      <w:r w:rsidR="00036644">
        <w:rPr>
          <w:b/>
          <w:bCs/>
          <w:sz w:val="28"/>
          <w:szCs w:val="28"/>
        </w:rPr>
        <w:t>to a myrtle branch –</w:t>
      </w:r>
    </w:p>
    <w:p w:rsidR="00E93B90" w:rsidRPr="00D91F0E" w:rsidRDefault="00036644" w:rsidP="00E93B90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D91F0E">
        <w:rPr>
          <w:rFonts w:cs="David" w:hint="cs"/>
          <w:b/>
          <w:bCs/>
          <w:sz w:val="28"/>
          <w:szCs w:val="28"/>
          <w:rtl/>
        </w:rPr>
        <w:t>ואפסקת בין דידיה לחברוהי</w:t>
      </w:r>
      <w:r w:rsidRPr="00D91F0E">
        <w:rPr>
          <w:rFonts w:cs="David"/>
          <w:b/>
          <w:bCs/>
          <w:sz w:val="28"/>
          <w:szCs w:val="28"/>
        </w:rPr>
        <w:t xml:space="preserve"> – </w:t>
      </w:r>
    </w:p>
    <w:p w:rsidR="00036644" w:rsidRDefault="00E93B90" w:rsidP="00A26C4B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</w:t>
      </w:r>
      <w:r w:rsidR="00036644">
        <w:rPr>
          <w:b/>
          <w:bCs/>
          <w:sz w:val="28"/>
          <w:szCs w:val="28"/>
        </w:rPr>
        <w:t xml:space="preserve"> it separated between </w:t>
      </w:r>
      <w:r w:rsidR="00036644" w:rsidRPr="00036644">
        <w:rPr>
          <w:rFonts w:hint="cs"/>
          <w:sz w:val="28"/>
          <w:szCs w:val="28"/>
          <w:rtl/>
        </w:rPr>
        <w:t>רשבר"י</w:t>
      </w:r>
      <w:r w:rsidR="00036644" w:rsidRPr="00036644">
        <w:rPr>
          <w:sz w:val="28"/>
          <w:szCs w:val="28"/>
        </w:rPr>
        <w:t xml:space="preserve"> </w:t>
      </w:r>
      <w:r w:rsidR="00036644">
        <w:rPr>
          <w:b/>
          <w:bCs/>
          <w:sz w:val="28"/>
          <w:szCs w:val="28"/>
        </w:rPr>
        <w:t>and his peers –</w:t>
      </w:r>
    </w:p>
    <w:p w:rsidR="00E93B90" w:rsidRPr="00D91F0E" w:rsidRDefault="00036644" w:rsidP="00D91F0E">
      <w:pPr>
        <w:bidi/>
        <w:spacing w:line="276" w:lineRule="auto"/>
        <w:jc w:val="both"/>
        <w:rPr>
          <w:sz w:val="28"/>
          <w:szCs w:val="28"/>
        </w:rPr>
      </w:pPr>
      <w:r w:rsidRPr="00D91F0E">
        <w:rPr>
          <w:rFonts w:cs="David" w:hint="cs"/>
          <w:b/>
          <w:bCs/>
          <w:sz w:val="28"/>
          <w:szCs w:val="28"/>
          <w:rtl/>
        </w:rPr>
        <w:lastRenderedPageBreak/>
        <w:t>אמרי חמית הדין סבא</w:t>
      </w:r>
      <w:r w:rsidR="00E93B90" w:rsidRPr="00D91F0E">
        <w:rPr>
          <w:rFonts w:cs="David" w:hint="cs"/>
          <w:b/>
          <w:bCs/>
          <w:sz w:val="28"/>
          <w:szCs w:val="28"/>
          <w:rtl/>
        </w:rPr>
        <w:t xml:space="preserve"> דקאי שישבא דנורא קומיה משום דעביד קמוהי דכלתא</w:t>
      </w:r>
      <w:r w:rsidRPr="00D91F0E">
        <w:rPr>
          <w:rFonts w:cs="David"/>
          <w:b/>
          <w:bCs/>
          <w:sz w:val="28"/>
          <w:szCs w:val="28"/>
        </w:rPr>
        <w:t xml:space="preserve"> </w:t>
      </w:r>
      <w:r w:rsidR="00D91F0E">
        <w:rPr>
          <w:rFonts w:cs="David" w:hint="cs"/>
          <w:b/>
          <w:bCs/>
          <w:sz w:val="28"/>
          <w:szCs w:val="28"/>
          <w:rtl/>
        </w:rPr>
        <w:t>-</w:t>
      </w:r>
      <w:r w:rsidRPr="00D91F0E">
        <w:rPr>
          <w:sz w:val="28"/>
          <w:szCs w:val="28"/>
        </w:rPr>
        <w:t xml:space="preserve"> </w:t>
      </w:r>
    </w:p>
    <w:p w:rsidR="00036644" w:rsidRDefault="00E93B90" w:rsidP="00E93B90">
      <w:pPr>
        <w:spacing w:line="276" w:lineRule="auto"/>
        <w:jc w:val="both"/>
        <w:rPr>
          <w:b/>
          <w:bCs/>
        </w:rPr>
      </w:pPr>
      <w:r>
        <w:rPr>
          <w:sz w:val="28"/>
          <w:szCs w:val="28"/>
        </w:rPr>
        <w:t>T</w:t>
      </w:r>
      <w:r w:rsidR="00036644" w:rsidRPr="00036644">
        <w:rPr>
          <w:sz w:val="28"/>
          <w:szCs w:val="28"/>
        </w:rPr>
        <w:t>he peers</w:t>
      </w:r>
      <w:r w:rsidR="00036644">
        <w:rPr>
          <w:sz w:val="28"/>
          <w:szCs w:val="28"/>
        </w:rPr>
        <w:t xml:space="preserve"> </w:t>
      </w:r>
      <w:r w:rsidR="00036644">
        <w:rPr>
          <w:b/>
          <w:bCs/>
          <w:sz w:val="28"/>
          <w:szCs w:val="28"/>
        </w:rPr>
        <w:t>said, ‘see this elder that a pillar of fire is standing before him</w:t>
      </w:r>
      <w:r w:rsidR="009E5303">
        <w:rPr>
          <w:sz w:val="28"/>
          <w:szCs w:val="28"/>
        </w:rPr>
        <w:t>.</w:t>
      </w:r>
      <w:r w:rsidR="00036644">
        <w:rPr>
          <w:sz w:val="28"/>
          <w:szCs w:val="28"/>
        </w:rPr>
        <w:t xml:space="preserve"> </w:t>
      </w:r>
      <w:r w:rsidR="009E5303" w:rsidRPr="00E93B90">
        <w:rPr>
          <w:sz w:val="28"/>
          <w:szCs w:val="28"/>
        </w:rPr>
        <w:t>T</w:t>
      </w:r>
      <w:r w:rsidR="00036644" w:rsidRPr="00E93B90">
        <w:rPr>
          <w:sz w:val="28"/>
          <w:szCs w:val="28"/>
        </w:rPr>
        <w:t>his is</w:t>
      </w:r>
      <w:r w:rsidR="00036644" w:rsidRPr="00E93B90">
        <w:rPr>
          <w:b/>
          <w:bCs/>
          <w:sz w:val="28"/>
          <w:szCs w:val="28"/>
        </w:rPr>
        <w:t xml:space="preserve"> </w:t>
      </w:r>
      <w:r w:rsidR="00036644">
        <w:rPr>
          <w:b/>
          <w:bCs/>
          <w:sz w:val="28"/>
          <w:szCs w:val="28"/>
        </w:rPr>
        <w:t xml:space="preserve">because of what he did in front of the </w:t>
      </w:r>
      <w:r w:rsidR="00036644">
        <w:rPr>
          <w:rFonts w:hint="cs"/>
          <w:b/>
          <w:bCs/>
          <w:sz w:val="28"/>
          <w:szCs w:val="28"/>
          <w:rtl/>
        </w:rPr>
        <w:t>כלה</w:t>
      </w:r>
      <w:r w:rsidR="00036644">
        <w:rPr>
          <w:b/>
          <w:bCs/>
          <w:sz w:val="28"/>
          <w:szCs w:val="28"/>
        </w:rPr>
        <w:t xml:space="preserve">’; </w:t>
      </w:r>
      <w:r w:rsidR="00036644" w:rsidRPr="0041066D">
        <w:t>that he danced before her with the myrtle branches.</w:t>
      </w:r>
      <w:r w:rsidR="00036644" w:rsidRPr="0041066D">
        <w:rPr>
          <w:b/>
          <w:bCs/>
        </w:rPr>
        <w:t xml:space="preserve"> </w:t>
      </w:r>
    </w:p>
    <w:p w:rsidR="004868CC" w:rsidRPr="00D91F0E" w:rsidRDefault="004868CC" w:rsidP="00A26C4B">
      <w:pPr>
        <w:spacing w:line="276" w:lineRule="auto"/>
        <w:jc w:val="both"/>
        <w:rPr>
          <w:u w:val="single"/>
        </w:rPr>
      </w:pPr>
    </w:p>
    <w:p w:rsidR="00617D9B" w:rsidRPr="00E93B90" w:rsidRDefault="00351D31" w:rsidP="00A26C4B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E93B90">
        <w:rPr>
          <w:rFonts w:ascii="Copperplate Gothic Bold" w:hAnsi="Copperplate Gothic Bold"/>
          <w:sz w:val="28"/>
          <w:szCs w:val="28"/>
          <w:u w:val="double"/>
        </w:rPr>
        <w:t>Summary</w:t>
      </w:r>
    </w:p>
    <w:p w:rsidR="00351D31" w:rsidRDefault="00351D31" w:rsidP="00A26C4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term </w:t>
      </w:r>
      <w:r>
        <w:rPr>
          <w:rFonts w:hint="cs"/>
          <w:sz w:val="28"/>
          <w:szCs w:val="28"/>
          <w:rtl/>
        </w:rPr>
        <w:t>שיטתיה</w:t>
      </w:r>
      <w:r>
        <w:rPr>
          <w:sz w:val="28"/>
          <w:szCs w:val="28"/>
        </w:rPr>
        <w:t xml:space="preserve"> refers to the </w:t>
      </w:r>
      <w:r>
        <w:rPr>
          <w:rFonts w:hint="cs"/>
          <w:sz w:val="28"/>
          <w:szCs w:val="28"/>
          <w:rtl/>
        </w:rPr>
        <w:t>שטה</w:t>
      </w:r>
      <w:r>
        <w:rPr>
          <w:sz w:val="28"/>
          <w:szCs w:val="28"/>
        </w:rPr>
        <w:t xml:space="preserve"> tree which is a type of </w:t>
      </w:r>
      <w:r>
        <w:rPr>
          <w:rFonts w:hint="cs"/>
          <w:sz w:val="28"/>
          <w:szCs w:val="28"/>
          <w:rtl/>
        </w:rPr>
        <w:t>ארז</w:t>
      </w:r>
      <w:r>
        <w:rPr>
          <w:sz w:val="28"/>
          <w:szCs w:val="28"/>
        </w:rPr>
        <w:t xml:space="preserve"> similar to the </w:t>
      </w:r>
      <w:r>
        <w:rPr>
          <w:rFonts w:hint="cs"/>
          <w:sz w:val="28"/>
          <w:szCs w:val="28"/>
          <w:rtl/>
        </w:rPr>
        <w:t>הדס</w:t>
      </w:r>
      <w:r>
        <w:rPr>
          <w:sz w:val="28"/>
          <w:szCs w:val="28"/>
        </w:rPr>
        <w:t xml:space="preserve"> tree. They knew that the pillar of fire that separated </w:t>
      </w:r>
      <w:r>
        <w:rPr>
          <w:rFonts w:hint="cs"/>
          <w:sz w:val="28"/>
          <w:szCs w:val="28"/>
          <w:rtl/>
        </w:rPr>
        <w:t>רשבר"י</w:t>
      </w:r>
      <w:r>
        <w:rPr>
          <w:sz w:val="28"/>
          <w:szCs w:val="28"/>
        </w:rPr>
        <w:t xml:space="preserve"> was on account of his dancing with </w:t>
      </w:r>
      <w:r>
        <w:rPr>
          <w:rFonts w:hint="cs"/>
          <w:sz w:val="28"/>
          <w:szCs w:val="28"/>
          <w:rtl/>
        </w:rPr>
        <w:t>הדסים</w:t>
      </w:r>
      <w:r>
        <w:rPr>
          <w:sz w:val="28"/>
          <w:szCs w:val="28"/>
        </w:rPr>
        <w:t xml:space="preserve">, because the fire was shaped as a </w:t>
      </w:r>
      <w:r>
        <w:rPr>
          <w:rFonts w:hint="cs"/>
          <w:sz w:val="28"/>
          <w:szCs w:val="28"/>
          <w:rtl/>
        </w:rPr>
        <w:t>הדס</w:t>
      </w:r>
      <w:r>
        <w:rPr>
          <w:sz w:val="28"/>
          <w:szCs w:val="28"/>
        </w:rPr>
        <w:t xml:space="preserve"> branch.</w:t>
      </w:r>
    </w:p>
    <w:p w:rsidR="00351D31" w:rsidRPr="00D91F0E" w:rsidRDefault="00351D31" w:rsidP="00A26C4B">
      <w:pPr>
        <w:spacing w:line="276" w:lineRule="auto"/>
        <w:jc w:val="both"/>
      </w:pPr>
    </w:p>
    <w:p w:rsidR="00351D31" w:rsidRPr="00E93B90" w:rsidRDefault="00351D31" w:rsidP="00A26C4B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E93B90">
        <w:rPr>
          <w:rFonts w:ascii="Copperplate Gothic Bold" w:hAnsi="Copperplate Gothic Bold"/>
          <w:sz w:val="28"/>
          <w:szCs w:val="28"/>
          <w:u w:val="double"/>
        </w:rPr>
        <w:t>Thinking it over</w:t>
      </w:r>
    </w:p>
    <w:p w:rsidR="00351D31" w:rsidRDefault="00E93B90" w:rsidP="00A26C4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351D31">
        <w:rPr>
          <w:sz w:val="28"/>
          <w:szCs w:val="28"/>
        </w:rPr>
        <w:t xml:space="preserve">How can one explain the dispute between </w:t>
      </w:r>
      <w:r w:rsidR="00351D31">
        <w:rPr>
          <w:rFonts w:hint="cs"/>
          <w:sz w:val="28"/>
          <w:szCs w:val="28"/>
          <w:rtl/>
        </w:rPr>
        <w:t>רש"י</w:t>
      </w:r>
      <w:r w:rsidR="00351D31">
        <w:rPr>
          <w:sz w:val="28"/>
          <w:szCs w:val="28"/>
        </w:rPr>
        <w:t xml:space="preserve"> and the </w:t>
      </w:r>
      <w:r w:rsidR="00351D31">
        <w:rPr>
          <w:rFonts w:hint="cs"/>
          <w:sz w:val="28"/>
          <w:szCs w:val="28"/>
          <w:rtl/>
        </w:rPr>
        <w:t>ר"ח</w:t>
      </w:r>
      <w:r w:rsidR="00351D31">
        <w:rPr>
          <w:sz w:val="28"/>
          <w:szCs w:val="28"/>
        </w:rPr>
        <w:t xml:space="preserve"> concerning the meaning of </w:t>
      </w:r>
      <w:r w:rsidR="00351D31">
        <w:rPr>
          <w:rFonts w:hint="cs"/>
          <w:sz w:val="28"/>
          <w:szCs w:val="28"/>
          <w:rtl/>
        </w:rPr>
        <w:t>שיטתיה</w:t>
      </w:r>
      <w:r w:rsidR="00351D31">
        <w:rPr>
          <w:sz w:val="28"/>
          <w:szCs w:val="28"/>
        </w:rPr>
        <w:t>?</w:t>
      </w:r>
    </w:p>
    <w:p w:rsidR="00E93B90" w:rsidRDefault="00E93B90" w:rsidP="00A26C4B">
      <w:pPr>
        <w:spacing w:line="276" w:lineRule="auto"/>
        <w:jc w:val="both"/>
        <w:rPr>
          <w:sz w:val="28"/>
          <w:szCs w:val="28"/>
        </w:rPr>
      </w:pPr>
    </w:p>
    <w:p w:rsidR="00E93B90" w:rsidRDefault="00E93B90" w:rsidP="00D91F0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According to the </w:t>
      </w:r>
      <w:r>
        <w:rPr>
          <w:rFonts w:hint="cs"/>
          <w:sz w:val="28"/>
          <w:szCs w:val="28"/>
          <w:rtl/>
        </w:rPr>
        <w:t>ר"ח</w:t>
      </w:r>
      <w:r>
        <w:rPr>
          <w:sz w:val="28"/>
          <w:szCs w:val="28"/>
        </w:rPr>
        <w:t xml:space="preserve"> that </w:t>
      </w:r>
      <w:r>
        <w:rPr>
          <w:rFonts w:hint="cs"/>
          <w:sz w:val="28"/>
          <w:szCs w:val="28"/>
          <w:rtl/>
        </w:rPr>
        <w:t>שיטתיה</w:t>
      </w:r>
      <w:r>
        <w:rPr>
          <w:sz w:val="28"/>
          <w:szCs w:val="28"/>
        </w:rPr>
        <w:t xml:space="preserve"> refers to the </w:t>
      </w:r>
      <w:r>
        <w:rPr>
          <w:rFonts w:hint="cs"/>
          <w:sz w:val="28"/>
          <w:szCs w:val="28"/>
          <w:rtl/>
        </w:rPr>
        <w:t>הדס</w:t>
      </w:r>
      <w:r>
        <w:rPr>
          <w:sz w:val="28"/>
          <w:szCs w:val="28"/>
        </w:rPr>
        <w:t xml:space="preserve"> (which is </w:t>
      </w:r>
      <w:r w:rsidR="00D91F0E">
        <w:rPr>
          <w:sz w:val="28"/>
          <w:szCs w:val="28"/>
        </w:rPr>
        <w:t xml:space="preserve">similar to </w:t>
      </w:r>
      <w:r w:rsidR="00D91F0E">
        <w:rPr>
          <w:rFonts w:hint="cs"/>
          <w:sz w:val="28"/>
          <w:szCs w:val="28"/>
          <w:rtl/>
        </w:rPr>
        <w:t>שטה</w:t>
      </w:r>
      <w:r w:rsidR="00D91F0E">
        <w:rPr>
          <w:sz w:val="28"/>
          <w:szCs w:val="28"/>
        </w:rPr>
        <w:t xml:space="preserve">) what is the difference between the first </w:t>
      </w:r>
      <w:r w:rsidR="00D91F0E">
        <w:rPr>
          <w:rFonts w:hint="cs"/>
          <w:sz w:val="28"/>
          <w:szCs w:val="28"/>
          <w:rtl/>
        </w:rPr>
        <w:t>לשון</w:t>
      </w:r>
      <w:r w:rsidR="00D91F0E">
        <w:rPr>
          <w:sz w:val="28"/>
          <w:szCs w:val="28"/>
        </w:rPr>
        <w:t xml:space="preserve"> of </w:t>
      </w:r>
      <w:r w:rsidR="00D91F0E">
        <w:rPr>
          <w:rFonts w:hint="cs"/>
          <w:sz w:val="28"/>
          <w:szCs w:val="28"/>
          <w:rtl/>
        </w:rPr>
        <w:t>ר' זירא</w:t>
      </w:r>
      <w:r w:rsidR="00D91F0E">
        <w:rPr>
          <w:sz w:val="28"/>
          <w:szCs w:val="28"/>
        </w:rPr>
        <w:t xml:space="preserve"> (which is </w:t>
      </w:r>
      <w:r w:rsidR="00D91F0E">
        <w:rPr>
          <w:rFonts w:hint="cs"/>
          <w:sz w:val="28"/>
          <w:szCs w:val="28"/>
          <w:rtl/>
        </w:rPr>
        <w:t>אהני לו שוטיתיה</w:t>
      </w:r>
      <w:r w:rsidR="00D91F0E">
        <w:rPr>
          <w:sz w:val="28"/>
          <w:szCs w:val="28"/>
        </w:rPr>
        <w:t xml:space="preserve">, referring to the </w:t>
      </w:r>
      <w:r w:rsidR="00D91F0E">
        <w:rPr>
          <w:rFonts w:hint="cs"/>
          <w:sz w:val="28"/>
          <w:szCs w:val="28"/>
          <w:rtl/>
        </w:rPr>
        <w:t>שוט של הדס</w:t>
      </w:r>
      <w:r w:rsidR="00D91F0E">
        <w:rPr>
          <w:sz w:val="28"/>
          <w:szCs w:val="28"/>
        </w:rPr>
        <w:t xml:space="preserve"> [see </w:t>
      </w:r>
      <w:r w:rsidR="00D91F0E">
        <w:rPr>
          <w:rFonts w:hint="cs"/>
          <w:sz w:val="28"/>
          <w:szCs w:val="28"/>
          <w:rtl/>
        </w:rPr>
        <w:t>רש"י ד"ה שוטיתיה</w:t>
      </w:r>
      <w:r w:rsidR="00D91F0E">
        <w:rPr>
          <w:sz w:val="28"/>
          <w:szCs w:val="28"/>
        </w:rPr>
        <w:t xml:space="preserve">]) and this </w:t>
      </w:r>
      <w:r w:rsidR="00D91F0E">
        <w:rPr>
          <w:rFonts w:hint="cs"/>
          <w:sz w:val="28"/>
          <w:szCs w:val="28"/>
          <w:rtl/>
        </w:rPr>
        <w:t>לשון</w:t>
      </w:r>
      <w:r w:rsidR="00D91F0E">
        <w:rPr>
          <w:sz w:val="28"/>
          <w:szCs w:val="28"/>
        </w:rPr>
        <w:t xml:space="preserve"> of </w:t>
      </w:r>
      <w:r w:rsidR="00D91F0E">
        <w:rPr>
          <w:rFonts w:hint="cs"/>
          <w:sz w:val="28"/>
          <w:szCs w:val="28"/>
          <w:rtl/>
        </w:rPr>
        <w:t>שיטתיה</w:t>
      </w:r>
      <w:r w:rsidR="00D91F0E">
        <w:rPr>
          <w:sz w:val="28"/>
          <w:szCs w:val="28"/>
        </w:rPr>
        <w:t xml:space="preserve"> (since they both refer to a </w:t>
      </w:r>
      <w:r w:rsidR="00D91F0E">
        <w:rPr>
          <w:rFonts w:hint="cs"/>
          <w:sz w:val="28"/>
          <w:szCs w:val="28"/>
          <w:rtl/>
        </w:rPr>
        <w:t>הדס</w:t>
      </w:r>
      <w:r w:rsidR="00D91F0E">
        <w:rPr>
          <w:sz w:val="28"/>
          <w:szCs w:val="28"/>
        </w:rPr>
        <w:t>)?!</w:t>
      </w:r>
      <w:r w:rsidR="00D91F0E">
        <w:rPr>
          <w:rStyle w:val="FootnoteReference"/>
          <w:sz w:val="28"/>
          <w:szCs w:val="28"/>
        </w:rPr>
        <w:footnoteReference w:id="5"/>
      </w:r>
      <w:r>
        <w:rPr>
          <w:sz w:val="28"/>
          <w:szCs w:val="28"/>
        </w:rPr>
        <w:t xml:space="preserve"> </w:t>
      </w:r>
    </w:p>
    <w:p w:rsidR="00351D31" w:rsidRDefault="00351D31" w:rsidP="00A26C4B">
      <w:pPr>
        <w:spacing w:line="276" w:lineRule="auto"/>
        <w:jc w:val="both"/>
        <w:rPr>
          <w:sz w:val="28"/>
          <w:szCs w:val="28"/>
        </w:rPr>
      </w:pPr>
    </w:p>
    <w:p w:rsidR="00E93B90" w:rsidRPr="00351D31" w:rsidRDefault="00E93B90" w:rsidP="00A26C4B">
      <w:pPr>
        <w:spacing w:line="276" w:lineRule="auto"/>
        <w:jc w:val="both"/>
        <w:rPr>
          <w:sz w:val="28"/>
          <w:szCs w:val="28"/>
        </w:rPr>
      </w:pPr>
    </w:p>
    <w:p w:rsidR="00617D9B" w:rsidRPr="0041066D" w:rsidRDefault="00617D9B" w:rsidP="00A26C4B">
      <w:pPr>
        <w:spacing w:line="276" w:lineRule="auto"/>
        <w:jc w:val="both"/>
        <w:rPr>
          <w:b/>
          <w:bCs/>
        </w:rPr>
      </w:pPr>
    </w:p>
    <w:sectPr w:rsidR="00617D9B" w:rsidRPr="0041066D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20C" w:rsidRDefault="00EC020C">
      <w:r>
        <w:separator/>
      </w:r>
    </w:p>
  </w:endnote>
  <w:endnote w:type="continuationSeparator" w:id="0">
    <w:p w:rsidR="00EC020C" w:rsidRDefault="00EC0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C3B" w:rsidRDefault="00E43C3B" w:rsidP="00AB19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3C3B" w:rsidRDefault="00E43C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C4B" w:rsidRDefault="00A26C4B">
    <w:pPr>
      <w:pStyle w:val="Footer"/>
      <w:jc w:val="center"/>
      <w:rPr>
        <w:noProof/>
        <w:sz w:val="16"/>
        <w:szCs w:val="16"/>
      </w:rPr>
    </w:pPr>
    <w:r w:rsidRPr="00A26C4B">
      <w:rPr>
        <w:sz w:val="20"/>
        <w:szCs w:val="20"/>
      </w:rPr>
      <w:fldChar w:fldCharType="begin"/>
    </w:r>
    <w:r w:rsidRPr="00A26C4B">
      <w:rPr>
        <w:sz w:val="20"/>
        <w:szCs w:val="20"/>
      </w:rPr>
      <w:instrText xml:space="preserve"> PAGE   \* MERGEFORMAT </w:instrText>
    </w:r>
    <w:r w:rsidRPr="00A26C4B">
      <w:rPr>
        <w:sz w:val="20"/>
        <w:szCs w:val="20"/>
      </w:rPr>
      <w:fldChar w:fldCharType="separate"/>
    </w:r>
    <w:r w:rsidR="00896D57">
      <w:rPr>
        <w:noProof/>
        <w:sz w:val="20"/>
        <w:szCs w:val="20"/>
      </w:rPr>
      <w:t>2</w:t>
    </w:r>
    <w:r w:rsidRPr="00A26C4B">
      <w:rPr>
        <w:noProof/>
        <w:sz w:val="20"/>
        <w:szCs w:val="20"/>
      </w:rPr>
      <w:fldChar w:fldCharType="end"/>
    </w:r>
  </w:p>
  <w:p w:rsidR="00A26C4B" w:rsidRPr="00A26C4B" w:rsidRDefault="00A26C4B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351D31" w:rsidRPr="00617354" w:rsidRDefault="00351D31" w:rsidP="00617354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20C" w:rsidRDefault="00EC020C">
      <w:r>
        <w:separator/>
      </w:r>
    </w:p>
  </w:footnote>
  <w:footnote w:type="continuationSeparator" w:id="0">
    <w:p w:rsidR="00EC020C" w:rsidRDefault="00EC020C">
      <w:r>
        <w:continuationSeparator/>
      </w:r>
    </w:p>
  </w:footnote>
  <w:footnote w:id="1">
    <w:p w:rsidR="00A26C4B" w:rsidRDefault="00A26C4B" w:rsidP="00A26C4B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פסוק יט</w:t>
      </w:r>
      <w:r>
        <w:t xml:space="preserve">. The </w:t>
      </w:r>
      <w:r>
        <w:rPr>
          <w:rFonts w:hint="cs"/>
          <w:rtl/>
        </w:rPr>
        <w:t>נביא</w:t>
      </w:r>
      <w:r>
        <w:t xml:space="preserve"> is enumerating the various trees with which </w:t>
      </w:r>
      <w:r>
        <w:rPr>
          <w:rFonts w:hint="cs"/>
          <w:rtl/>
        </w:rPr>
        <w:t>הקב"ה</w:t>
      </w:r>
      <w:r>
        <w:t xml:space="preserve"> will populate the dessert. </w:t>
      </w:r>
    </w:p>
  </w:footnote>
  <w:footnote w:id="2">
    <w:p w:rsidR="00D91F0E" w:rsidRDefault="00D91F0E" w:rsidP="00D91F0E">
      <w:pPr>
        <w:pStyle w:val="FootnoteText"/>
        <w:spacing w:line="264" w:lineRule="auto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גמרא</w:t>
      </w:r>
      <w:r>
        <w:t xml:space="preserve"> in </w:t>
      </w:r>
      <w:r>
        <w:rPr>
          <w:rFonts w:hint="cs"/>
          <w:rtl/>
        </w:rPr>
        <w:t>ר"ה (כג,א)</w:t>
      </w:r>
      <w:r>
        <w:t xml:space="preserve"> states that there are ten types of </w:t>
      </w:r>
      <w:r>
        <w:rPr>
          <w:rFonts w:hint="cs"/>
          <w:rtl/>
        </w:rPr>
        <w:t>ארז</w:t>
      </w:r>
      <w:r>
        <w:t xml:space="preserve">, including </w:t>
      </w:r>
      <w:r>
        <w:rPr>
          <w:rFonts w:hint="cs"/>
          <w:rtl/>
        </w:rPr>
        <w:t>שטה והדס</w:t>
      </w:r>
      <w:r>
        <w:t>.</w:t>
      </w:r>
    </w:p>
  </w:footnote>
  <w:footnote w:id="3">
    <w:p w:rsidR="00A26C4B" w:rsidRDefault="00A26C4B" w:rsidP="00A26C4B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It would seem that </w:t>
      </w:r>
      <w:r>
        <w:rPr>
          <w:rFonts w:hint="cs"/>
          <w:rtl/>
        </w:rPr>
        <w:t>תוספות</w:t>
      </w:r>
      <w:r>
        <w:t xml:space="preserve"> question is appropriate according to all versions of s</w:t>
      </w:r>
      <w:r>
        <w:rPr>
          <w:rFonts w:hint="cs"/>
          <w:rtl/>
        </w:rPr>
        <w:t>ר' זירא'</w:t>
      </w:r>
      <w:r>
        <w:t xml:space="preserve"> statement.</w:t>
      </w:r>
    </w:p>
  </w:footnote>
  <w:footnote w:id="4">
    <w:p w:rsidR="000A5128" w:rsidRDefault="000A5128" w:rsidP="00A26C4B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In our texts it is in </w:t>
      </w:r>
      <w:r>
        <w:rPr>
          <w:rFonts w:hint="cs"/>
          <w:rtl/>
        </w:rPr>
        <w:t>נט,ד</w:t>
      </w:r>
      <w:r>
        <w:t>.</w:t>
      </w:r>
    </w:p>
  </w:footnote>
  <w:footnote w:id="5">
    <w:p w:rsidR="00D91F0E" w:rsidRDefault="00D91F0E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שטמ"ק בשם הריטב"א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D31" w:rsidRDefault="00351D31" w:rsidP="00617354">
    <w:pPr>
      <w:pStyle w:val="Header"/>
      <w:jc w:val="right"/>
      <w:rPr>
        <w:rFonts w:hint="cs"/>
        <w:rtl/>
      </w:rPr>
    </w:pPr>
    <w:r>
      <w:rPr>
        <w:rFonts w:hint="cs"/>
        <w:rtl/>
      </w:rPr>
      <w:t>בס"ד. כתובות יז,א תוס' ד"ה שיטתיה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7354"/>
    <w:rsid w:val="0003107B"/>
    <w:rsid w:val="00035D00"/>
    <w:rsid w:val="00036644"/>
    <w:rsid w:val="00037215"/>
    <w:rsid w:val="00047EB7"/>
    <w:rsid w:val="000523E2"/>
    <w:rsid w:val="0005681E"/>
    <w:rsid w:val="00061E9F"/>
    <w:rsid w:val="000661DF"/>
    <w:rsid w:val="00074E53"/>
    <w:rsid w:val="000825A6"/>
    <w:rsid w:val="00084A99"/>
    <w:rsid w:val="00094EB6"/>
    <w:rsid w:val="0009659D"/>
    <w:rsid w:val="000A234E"/>
    <w:rsid w:val="000A5128"/>
    <w:rsid w:val="000A66FC"/>
    <w:rsid w:val="000A704E"/>
    <w:rsid w:val="000B377B"/>
    <w:rsid w:val="000C21FA"/>
    <w:rsid w:val="000C5F41"/>
    <w:rsid w:val="000C65DD"/>
    <w:rsid w:val="000D6702"/>
    <w:rsid w:val="00102A9B"/>
    <w:rsid w:val="00103B51"/>
    <w:rsid w:val="00112C69"/>
    <w:rsid w:val="0015643F"/>
    <w:rsid w:val="00171949"/>
    <w:rsid w:val="001722B4"/>
    <w:rsid w:val="00183AF3"/>
    <w:rsid w:val="001938B0"/>
    <w:rsid w:val="001A5235"/>
    <w:rsid w:val="001B01D8"/>
    <w:rsid w:val="001B2BF9"/>
    <w:rsid w:val="001C19C3"/>
    <w:rsid w:val="001C496B"/>
    <w:rsid w:val="001E2618"/>
    <w:rsid w:val="00211951"/>
    <w:rsid w:val="00221697"/>
    <w:rsid w:val="00233159"/>
    <w:rsid w:val="0024128D"/>
    <w:rsid w:val="002456D8"/>
    <w:rsid w:val="00257F6C"/>
    <w:rsid w:val="002645F1"/>
    <w:rsid w:val="0027005E"/>
    <w:rsid w:val="002870E1"/>
    <w:rsid w:val="00293A47"/>
    <w:rsid w:val="002A6061"/>
    <w:rsid w:val="002A792F"/>
    <w:rsid w:val="002B4135"/>
    <w:rsid w:val="002D3CFC"/>
    <w:rsid w:val="002E39F1"/>
    <w:rsid w:val="002E39F2"/>
    <w:rsid w:val="00311EC8"/>
    <w:rsid w:val="0031575F"/>
    <w:rsid w:val="0031695C"/>
    <w:rsid w:val="00317453"/>
    <w:rsid w:val="003203FB"/>
    <w:rsid w:val="003206C1"/>
    <w:rsid w:val="0033122C"/>
    <w:rsid w:val="00337C06"/>
    <w:rsid w:val="00351D31"/>
    <w:rsid w:val="00385C65"/>
    <w:rsid w:val="00387CF0"/>
    <w:rsid w:val="0039622B"/>
    <w:rsid w:val="003C2861"/>
    <w:rsid w:val="003D34E8"/>
    <w:rsid w:val="003E0B99"/>
    <w:rsid w:val="003E0BE9"/>
    <w:rsid w:val="003F0F83"/>
    <w:rsid w:val="0041066D"/>
    <w:rsid w:val="0041626A"/>
    <w:rsid w:val="00442246"/>
    <w:rsid w:val="0045569C"/>
    <w:rsid w:val="004868CC"/>
    <w:rsid w:val="004912CF"/>
    <w:rsid w:val="004C2792"/>
    <w:rsid w:val="004D44F9"/>
    <w:rsid w:val="004D743A"/>
    <w:rsid w:val="004F5CC8"/>
    <w:rsid w:val="00524098"/>
    <w:rsid w:val="00525981"/>
    <w:rsid w:val="00526332"/>
    <w:rsid w:val="005361BA"/>
    <w:rsid w:val="00543AAD"/>
    <w:rsid w:val="00552A0A"/>
    <w:rsid w:val="00587A08"/>
    <w:rsid w:val="00594AD0"/>
    <w:rsid w:val="00594FFE"/>
    <w:rsid w:val="00596A4A"/>
    <w:rsid w:val="005C6F55"/>
    <w:rsid w:val="005D1BC8"/>
    <w:rsid w:val="00612505"/>
    <w:rsid w:val="00617354"/>
    <w:rsid w:val="00617D9B"/>
    <w:rsid w:val="00622F81"/>
    <w:rsid w:val="00623F59"/>
    <w:rsid w:val="00625363"/>
    <w:rsid w:val="00630E96"/>
    <w:rsid w:val="006313AE"/>
    <w:rsid w:val="00637A3C"/>
    <w:rsid w:val="00650215"/>
    <w:rsid w:val="00662F36"/>
    <w:rsid w:val="006A654B"/>
    <w:rsid w:val="006B38B6"/>
    <w:rsid w:val="006B6A05"/>
    <w:rsid w:val="006D15F5"/>
    <w:rsid w:val="006D1EB7"/>
    <w:rsid w:val="006D27A1"/>
    <w:rsid w:val="006E3BC2"/>
    <w:rsid w:val="006E6E64"/>
    <w:rsid w:val="006F5322"/>
    <w:rsid w:val="007044D2"/>
    <w:rsid w:val="007063AE"/>
    <w:rsid w:val="00706BF6"/>
    <w:rsid w:val="00715225"/>
    <w:rsid w:val="00716EFD"/>
    <w:rsid w:val="007454A5"/>
    <w:rsid w:val="007579D2"/>
    <w:rsid w:val="007608FB"/>
    <w:rsid w:val="00761D2D"/>
    <w:rsid w:val="00794B2B"/>
    <w:rsid w:val="007C662F"/>
    <w:rsid w:val="007E5721"/>
    <w:rsid w:val="00800D57"/>
    <w:rsid w:val="0080628F"/>
    <w:rsid w:val="00810514"/>
    <w:rsid w:val="008247DD"/>
    <w:rsid w:val="008304C3"/>
    <w:rsid w:val="00853C28"/>
    <w:rsid w:val="00862034"/>
    <w:rsid w:val="00862D1D"/>
    <w:rsid w:val="00864E57"/>
    <w:rsid w:val="00865D0F"/>
    <w:rsid w:val="00870857"/>
    <w:rsid w:val="00875674"/>
    <w:rsid w:val="00896A68"/>
    <w:rsid w:val="00896D57"/>
    <w:rsid w:val="008A13DB"/>
    <w:rsid w:val="008A51A6"/>
    <w:rsid w:val="008B02E6"/>
    <w:rsid w:val="008C3899"/>
    <w:rsid w:val="008D06BE"/>
    <w:rsid w:val="008D416B"/>
    <w:rsid w:val="008D551A"/>
    <w:rsid w:val="008D7B53"/>
    <w:rsid w:val="008F7F09"/>
    <w:rsid w:val="00901B45"/>
    <w:rsid w:val="009126E7"/>
    <w:rsid w:val="009517F7"/>
    <w:rsid w:val="009742DC"/>
    <w:rsid w:val="00977898"/>
    <w:rsid w:val="009931CD"/>
    <w:rsid w:val="00993AE7"/>
    <w:rsid w:val="009A5F36"/>
    <w:rsid w:val="009B3817"/>
    <w:rsid w:val="009C4EAE"/>
    <w:rsid w:val="009C6227"/>
    <w:rsid w:val="009E0383"/>
    <w:rsid w:val="009E2DE5"/>
    <w:rsid w:val="009E5303"/>
    <w:rsid w:val="00A26C4B"/>
    <w:rsid w:val="00A5142C"/>
    <w:rsid w:val="00A55D6A"/>
    <w:rsid w:val="00A5722D"/>
    <w:rsid w:val="00A603D1"/>
    <w:rsid w:val="00A619AB"/>
    <w:rsid w:val="00A74DFE"/>
    <w:rsid w:val="00A80985"/>
    <w:rsid w:val="00AA0A7C"/>
    <w:rsid w:val="00AB19D1"/>
    <w:rsid w:val="00AE7621"/>
    <w:rsid w:val="00AF21D0"/>
    <w:rsid w:val="00AF6948"/>
    <w:rsid w:val="00B00C27"/>
    <w:rsid w:val="00B320A8"/>
    <w:rsid w:val="00B5520D"/>
    <w:rsid w:val="00B736BA"/>
    <w:rsid w:val="00B9107D"/>
    <w:rsid w:val="00BA0498"/>
    <w:rsid w:val="00BA0EA7"/>
    <w:rsid w:val="00BE5AB0"/>
    <w:rsid w:val="00C2661A"/>
    <w:rsid w:val="00C32768"/>
    <w:rsid w:val="00C47587"/>
    <w:rsid w:val="00C50B9E"/>
    <w:rsid w:val="00C60B0E"/>
    <w:rsid w:val="00C65466"/>
    <w:rsid w:val="00C94D8F"/>
    <w:rsid w:val="00CB2EF7"/>
    <w:rsid w:val="00CE5DC6"/>
    <w:rsid w:val="00CF45CE"/>
    <w:rsid w:val="00D010DD"/>
    <w:rsid w:val="00D12A67"/>
    <w:rsid w:val="00D52FB7"/>
    <w:rsid w:val="00D5427B"/>
    <w:rsid w:val="00D76902"/>
    <w:rsid w:val="00D80322"/>
    <w:rsid w:val="00D91F0E"/>
    <w:rsid w:val="00DA6E08"/>
    <w:rsid w:val="00DB758C"/>
    <w:rsid w:val="00DD1D4A"/>
    <w:rsid w:val="00DD36BE"/>
    <w:rsid w:val="00DF057A"/>
    <w:rsid w:val="00DF0DA4"/>
    <w:rsid w:val="00E048F4"/>
    <w:rsid w:val="00E24AF7"/>
    <w:rsid w:val="00E31CDA"/>
    <w:rsid w:val="00E43C3B"/>
    <w:rsid w:val="00E51675"/>
    <w:rsid w:val="00E706E0"/>
    <w:rsid w:val="00E93B90"/>
    <w:rsid w:val="00E9460D"/>
    <w:rsid w:val="00E94F73"/>
    <w:rsid w:val="00EA276D"/>
    <w:rsid w:val="00EC020C"/>
    <w:rsid w:val="00EC0635"/>
    <w:rsid w:val="00ED22E6"/>
    <w:rsid w:val="00ED6464"/>
    <w:rsid w:val="00EE3B42"/>
    <w:rsid w:val="00F02605"/>
    <w:rsid w:val="00F13ED9"/>
    <w:rsid w:val="00F2229C"/>
    <w:rsid w:val="00F41AB9"/>
    <w:rsid w:val="00F44D24"/>
    <w:rsid w:val="00F4628C"/>
    <w:rsid w:val="00F50751"/>
    <w:rsid w:val="00F50F81"/>
    <w:rsid w:val="00F74414"/>
    <w:rsid w:val="00F81D09"/>
    <w:rsid w:val="00F931A0"/>
    <w:rsid w:val="00F93757"/>
    <w:rsid w:val="00F9736B"/>
    <w:rsid w:val="00FB2B15"/>
    <w:rsid w:val="00FD5C73"/>
    <w:rsid w:val="00FF0935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73273A2-23E7-464A-B486-011355AF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173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1735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993AE7"/>
    <w:rPr>
      <w:sz w:val="20"/>
      <w:szCs w:val="20"/>
    </w:rPr>
  </w:style>
  <w:style w:type="character" w:styleId="FootnoteReference">
    <w:name w:val="footnote reference"/>
    <w:semiHidden/>
    <w:rsid w:val="00993AE7"/>
    <w:rPr>
      <w:vertAlign w:val="superscript"/>
    </w:rPr>
  </w:style>
  <w:style w:type="character" w:styleId="PageNumber">
    <w:name w:val="page number"/>
    <w:basedOn w:val="DefaultParagraphFont"/>
    <w:rsid w:val="00E43C3B"/>
  </w:style>
  <w:style w:type="character" w:customStyle="1" w:styleId="FooterChar">
    <w:name w:val="Footer Char"/>
    <w:link w:val="Footer"/>
    <w:uiPriority w:val="99"/>
    <w:rsid w:val="00A26C4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שיטתיה לסבא – The (custom) [myrtle] was an aid for the elder</vt:lpstr>
    </vt:vector>
  </TitlesOfParts>
  <Company>Oholei Torah</Company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שיטתיה לסבא – The (custom) [myrtle] was an aid for the elder</dc:title>
  <dc:subject/>
  <dc:creator>Ephraim piekarski</dc:creator>
  <cp:keywords/>
  <dc:description/>
  <cp:lastModifiedBy>Microsoft account</cp:lastModifiedBy>
  <cp:revision>2</cp:revision>
  <dcterms:created xsi:type="dcterms:W3CDTF">2022-04-05T10:49:00Z</dcterms:created>
  <dcterms:modified xsi:type="dcterms:W3CDTF">2022-04-05T10:49:00Z</dcterms:modified>
</cp:coreProperties>
</file>