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62" w:rsidRDefault="00EA5922" w:rsidP="004C38A4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מלך</w:t>
      </w:r>
      <w:r>
        <w:rPr>
          <w:rFonts w:hint="cs"/>
          <w:b/>
          <w:bCs/>
          <w:sz w:val="32"/>
          <w:szCs w:val="32"/>
          <w:rtl/>
        </w:rPr>
        <w:t xml:space="preserve"> שמחל על כבודו אין כבודו מחול</w:t>
      </w:r>
      <w:r w:rsidR="00AB7A62">
        <w:rPr>
          <w:rFonts w:hint="cs"/>
          <w:b/>
          <w:bCs/>
          <w:sz w:val="32"/>
          <w:szCs w:val="32"/>
          <w:rtl/>
        </w:rPr>
        <w:t xml:space="preserve"> </w:t>
      </w:r>
      <w:r w:rsidR="00AB7A62">
        <w:rPr>
          <w:b/>
          <w:bCs/>
          <w:sz w:val="32"/>
          <w:szCs w:val="32"/>
          <w:rtl/>
        </w:rPr>
        <w:t>–</w:t>
      </w:r>
      <w:r w:rsidR="00AB7A62">
        <w:rPr>
          <w:rFonts w:hint="cs"/>
          <w:b/>
          <w:bCs/>
          <w:sz w:val="32"/>
          <w:szCs w:val="32"/>
          <w:rtl/>
        </w:rPr>
        <w:t xml:space="preserve"> </w:t>
      </w:r>
      <w:r w:rsidR="00AB7A62">
        <w:rPr>
          <w:b/>
          <w:bCs/>
          <w:sz w:val="32"/>
          <w:szCs w:val="32"/>
        </w:rPr>
        <w:t xml:space="preserve">A king who renounced his </w:t>
      </w:r>
      <w:r w:rsidR="00E702AF">
        <w:rPr>
          <w:b/>
          <w:bCs/>
          <w:sz w:val="16"/>
          <w:szCs w:val="16"/>
        </w:rPr>
        <w:t xml:space="preserve"> </w:t>
      </w:r>
      <w:r w:rsidR="00AB7A62">
        <w:rPr>
          <w:b/>
          <w:bCs/>
          <w:sz w:val="32"/>
          <w:szCs w:val="32"/>
        </w:rPr>
        <w:t xml:space="preserve">  </w:t>
      </w:r>
      <w:r w:rsidR="004C38A4">
        <w:rPr>
          <w:b/>
          <w:bCs/>
          <w:sz w:val="32"/>
          <w:szCs w:val="32"/>
        </w:rPr>
        <w:t xml:space="preserve"> </w:t>
      </w:r>
      <w:r w:rsidR="004C38A4">
        <w:rPr>
          <w:b/>
          <w:bCs/>
          <w:sz w:val="16"/>
          <w:szCs w:val="16"/>
        </w:rPr>
        <w:t xml:space="preserve"> </w:t>
      </w:r>
      <w:r w:rsidR="00AB7A62">
        <w:rPr>
          <w:b/>
          <w:bCs/>
          <w:sz w:val="32"/>
          <w:szCs w:val="32"/>
        </w:rPr>
        <w:t xml:space="preserve">  </w:t>
      </w:r>
    </w:p>
    <w:p w:rsidR="0005681E" w:rsidRDefault="00772923" w:rsidP="00AB7A62">
      <w:pPr>
        <w:spacing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>honor,</w:t>
      </w:r>
      <w:r>
        <w:rPr>
          <w:sz w:val="32"/>
          <w:szCs w:val="32"/>
        </w:rPr>
        <w:t xml:space="preserve"> </w:t>
      </w:r>
      <w:r w:rsidR="00453AFA" w:rsidRPr="00453AFA">
        <w:rPr>
          <w:sz w:val="32"/>
          <w:szCs w:val="32"/>
        </w:rPr>
        <w:t>nevertheless</w:t>
      </w:r>
      <w:r w:rsidR="00453AFA">
        <w:rPr>
          <w:sz w:val="32"/>
          <w:szCs w:val="32"/>
        </w:rPr>
        <w:t>,</w:t>
      </w:r>
      <w:r w:rsidR="00453AFA">
        <w:rPr>
          <w:b/>
          <w:bCs/>
          <w:sz w:val="32"/>
          <w:szCs w:val="32"/>
        </w:rPr>
        <w:t xml:space="preserve"> </w:t>
      </w:r>
      <w:r w:rsidRPr="00772923">
        <w:rPr>
          <w:b/>
          <w:bCs/>
          <w:sz w:val="32"/>
          <w:szCs w:val="32"/>
        </w:rPr>
        <w:t>his honor is not</w:t>
      </w:r>
      <w:r>
        <w:rPr>
          <w:b/>
          <w:bCs/>
          <w:sz w:val="32"/>
          <w:szCs w:val="32"/>
        </w:rPr>
        <w:t xml:space="preserve"> re</w:t>
      </w:r>
      <w:r w:rsidR="00FD3A4E">
        <w:rPr>
          <w:b/>
          <w:bCs/>
          <w:sz w:val="32"/>
          <w:szCs w:val="32"/>
        </w:rPr>
        <w:t>nounced</w:t>
      </w:r>
    </w:p>
    <w:p w:rsidR="00772923" w:rsidRDefault="00772923" w:rsidP="00AB7A62">
      <w:pPr>
        <w:spacing w:line="276" w:lineRule="auto"/>
        <w:jc w:val="both"/>
        <w:rPr>
          <w:b/>
          <w:bCs/>
        </w:rPr>
      </w:pPr>
    </w:p>
    <w:p w:rsidR="003A0D50" w:rsidRPr="00AB7A62" w:rsidRDefault="003A0D50" w:rsidP="00AB7A6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B7A62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3A0D50" w:rsidRDefault="003A0D50" w:rsidP="00AB7A6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asks how </w:t>
      </w:r>
      <w:r>
        <w:rPr>
          <w:sz w:val="28"/>
          <w:szCs w:val="28"/>
          <w:rtl/>
        </w:rPr>
        <w:t>אגריפס</w:t>
      </w:r>
      <w:r>
        <w:rPr>
          <w:sz w:val="28"/>
          <w:szCs w:val="28"/>
        </w:rPr>
        <w:t xml:space="preserve"> was permitted to forgo his honor and give the right of way to a </w:t>
      </w:r>
      <w:r>
        <w:rPr>
          <w:rFonts w:hint="cs"/>
          <w:sz w:val="28"/>
          <w:szCs w:val="28"/>
          <w:rtl/>
        </w:rPr>
        <w:t>כלה</w:t>
      </w:r>
      <w:r>
        <w:rPr>
          <w:sz w:val="28"/>
          <w:szCs w:val="28"/>
        </w:rPr>
        <w:t xml:space="preserve">, when there is a rule that </w:t>
      </w:r>
      <w:r>
        <w:rPr>
          <w:rFonts w:hint="cs"/>
          <w:sz w:val="28"/>
          <w:szCs w:val="28"/>
          <w:rtl/>
        </w:rPr>
        <w:t>מלך שמחל על כבודו אין כבודו מחול</w:t>
      </w:r>
      <w:r>
        <w:rPr>
          <w:sz w:val="28"/>
          <w:szCs w:val="28"/>
        </w:rPr>
        <w:t xml:space="preserve">. </w:t>
      </w:r>
    </w:p>
    <w:p w:rsidR="003A0D50" w:rsidRPr="003A0D50" w:rsidRDefault="003A0D50" w:rsidP="00AB7A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</w:t>
      </w:r>
    </w:p>
    <w:p w:rsidR="00772923" w:rsidRPr="003A0D50" w:rsidRDefault="003A0D50" w:rsidP="00AB7A62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anticipates a difficulty:</w:t>
      </w:r>
    </w:p>
    <w:p w:rsidR="00AB7A62" w:rsidRPr="00AB7A62" w:rsidRDefault="00772923" w:rsidP="00AB7A62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AB7A62">
        <w:rPr>
          <w:rFonts w:cs="David" w:hint="cs"/>
          <w:b/>
          <w:bCs/>
          <w:sz w:val="28"/>
          <w:szCs w:val="28"/>
          <w:rtl/>
        </w:rPr>
        <w:t>אף על גב דלא היה מלך גמור</w:t>
      </w:r>
      <w:r w:rsidR="00AB7A62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="00AB7A62" w:rsidRPr="00AB7A62">
        <w:rPr>
          <w:rFonts w:cs="David" w:hint="cs"/>
          <w:b/>
          <w:bCs/>
          <w:sz w:val="28"/>
          <w:szCs w:val="28"/>
          <w:rtl/>
        </w:rPr>
        <w:t xml:space="preserve"> כדמשמע באלו נאמרין</w:t>
      </w:r>
      <w:r w:rsidR="00AB7A62" w:rsidRPr="00AB7A62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="00AB7A62" w:rsidRPr="00AB7A62">
        <w:rPr>
          <w:rFonts w:cs="David" w:hint="cs"/>
          <w:b/>
          <w:bCs/>
          <w:sz w:val="20"/>
          <w:szCs w:val="20"/>
          <w:rtl/>
        </w:rPr>
        <w:t xml:space="preserve"> (סוטה דף מא,א)</w:t>
      </w:r>
      <w:r w:rsidR="00AB7A62" w:rsidRPr="00AB7A62">
        <w:rPr>
          <w:rFonts w:cs="David"/>
          <w:b/>
          <w:bCs/>
          <w:sz w:val="20"/>
          <w:szCs w:val="20"/>
        </w:rPr>
        <w:t xml:space="preserve"> </w:t>
      </w:r>
      <w:r w:rsidR="00AB7A62" w:rsidRPr="00AB7A62">
        <w:rPr>
          <w:rFonts w:cs="David" w:hint="cs"/>
          <w:b/>
          <w:bCs/>
          <w:sz w:val="20"/>
          <w:szCs w:val="20"/>
          <w:rtl/>
        </w:rPr>
        <w:t xml:space="preserve"> </w:t>
      </w:r>
      <w:r w:rsidR="00AB7A62" w:rsidRPr="00AB7A62">
        <w:rPr>
          <w:rFonts w:cs="David" w:hint="cs"/>
          <w:b/>
          <w:bCs/>
          <w:sz w:val="28"/>
          <w:szCs w:val="28"/>
          <w:rtl/>
        </w:rPr>
        <w:t>-</w:t>
      </w:r>
    </w:p>
    <w:p w:rsidR="00772923" w:rsidRPr="00DE4C8D" w:rsidRDefault="00AB7A62" w:rsidP="00AB7A62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>Even</w:t>
      </w:r>
      <w:r w:rsidR="00772923">
        <w:rPr>
          <w:b/>
          <w:bCs/>
          <w:sz w:val="28"/>
          <w:szCs w:val="28"/>
        </w:rPr>
        <w:t xml:space="preserve"> though </w:t>
      </w:r>
      <w:r w:rsidR="00772923">
        <w:rPr>
          <w:rFonts w:hint="cs"/>
          <w:sz w:val="28"/>
          <w:szCs w:val="28"/>
          <w:rtl/>
        </w:rPr>
        <w:t>אגריפס</w:t>
      </w:r>
      <w:r w:rsidR="00772923">
        <w:rPr>
          <w:sz w:val="28"/>
          <w:szCs w:val="28"/>
        </w:rPr>
        <w:t xml:space="preserve"> </w:t>
      </w:r>
      <w:r w:rsidR="00772923">
        <w:rPr>
          <w:b/>
          <w:bCs/>
          <w:sz w:val="28"/>
          <w:szCs w:val="28"/>
        </w:rPr>
        <w:t xml:space="preserve">was not a valid king as is indicated in </w:t>
      </w:r>
      <w:r w:rsidR="00772923">
        <w:rPr>
          <w:rFonts w:hint="cs"/>
          <w:sz w:val="28"/>
          <w:szCs w:val="28"/>
          <w:rtl/>
        </w:rPr>
        <w:t xml:space="preserve">פרק </w:t>
      </w:r>
      <w:r w:rsidR="00772923">
        <w:rPr>
          <w:rFonts w:hint="cs"/>
          <w:b/>
          <w:bCs/>
          <w:sz w:val="28"/>
          <w:szCs w:val="28"/>
          <w:rtl/>
        </w:rPr>
        <w:t>אלו נאמרין</w:t>
      </w:r>
      <w:r w:rsidR="003A0D50">
        <w:rPr>
          <w:b/>
          <w:bCs/>
          <w:sz w:val="28"/>
          <w:szCs w:val="28"/>
        </w:rPr>
        <w:t xml:space="preserve">. </w:t>
      </w:r>
      <w:r w:rsidR="003A0D50" w:rsidRPr="00DE4C8D">
        <w:t>That is why</w:t>
      </w:r>
      <w:r w:rsidR="00EC4948">
        <w:t xml:space="preserve"> we could have said that</w:t>
      </w:r>
      <w:r w:rsidR="003A0D50" w:rsidRPr="00DE4C8D">
        <w:t xml:space="preserve"> in this case his </w:t>
      </w:r>
      <w:r w:rsidR="003A0D50" w:rsidRPr="00DE4C8D">
        <w:rPr>
          <w:rFonts w:hint="cs"/>
          <w:rtl/>
        </w:rPr>
        <w:t>כבוד</w:t>
      </w:r>
      <w:r w:rsidR="003A0D50" w:rsidRPr="00DE4C8D">
        <w:t xml:space="preserve"> is </w:t>
      </w:r>
      <w:r w:rsidR="003A0D50" w:rsidRPr="00DE4C8D">
        <w:rPr>
          <w:rFonts w:hint="cs"/>
          <w:rtl/>
        </w:rPr>
        <w:t>מחול</w:t>
      </w:r>
      <w:r w:rsidR="003A0D50" w:rsidRPr="00DE4C8D">
        <w:t xml:space="preserve">, since he is not a </w:t>
      </w:r>
      <w:r w:rsidR="003A0D50" w:rsidRPr="00DE4C8D">
        <w:rPr>
          <w:rFonts w:hint="cs"/>
          <w:rtl/>
        </w:rPr>
        <w:t>מלך גמור</w:t>
      </w:r>
      <w:r w:rsidR="003A0D50" w:rsidRPr="00DE4C8D">
        <w:t>.</w:t>
      </w:r>
      <w:r w:rsidR="00772923" w:rsidRPr="00DE4C8D">
        <w:rPr>
          <w:b/>
          <w:bCs/>
        </w:rPr>
        <w:t xml:space="preserve"> </w:t>
      </w:r>
    </w:p>
    <w:p w:rsidR="003A0D50" w:rsidRPr="00DE4C8D" w:rsidRDefault="003A0D50" w:rsidP="00AB7A62">
      <w:pPr>
        <w:spacing w:line="276" w:lineRule="auto"/>
        <w:jc w:val="both"/>
        <w:rPr>
          <w:b/>
          <w:bCs/>
        </w:rPr>
      </w:pPr>
    </w:p>
    <w:p w:rsidR="003A0D50" w:rsidRPr="00DE4C8D" w:rsidRDefault="003A0D50" w:rsidP="00AB7A62">
      <w:pPr>
        <w:spacing w:line="276" w:lineRule="auto"/>
        <w:jc w:val="both"/>
      </w:pPr>
      <w:r w:rsidRPr="00DE4C8D">
        <w:rPr>
          <w:rFonts w:hint="cs"/>
          <w:rtl/>
        </w:rPr>
        <w:t>תוספות</w:t>
      </w:r>
      <w:r w:rsidRPr="00DE4C8D">
        <w:t xml:space="preserve"> answers:</w:t>
      </w:r>
    </w:p>
    <w:p w:rsidR="00AB7A62" w:rsidRPr="00657E10" w:rsidRDefault="00FD3A4E" w:rsidP="00657E10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657E10">
        <w:rPr>
          <w:rFonts w:cs="David" w:hint="cs"/>
          <w:b/>
          <w:bCs/>
          <w:sz w:val="28"/>
          <w:szCs w:val="28"/>
          <w:rtl/>
        </w:rPr>
        <w:t>מכל מקום היו נוהגין בו כבוד</w:t>
      </w:r>
      <w:r w:rsidR="00AB7A62" w:rsidRPr="00657E10">
        <w:rPr>
          <w:rFonts w:cs="David" w:hint="cs"/>
          <w:b/>
          <w:bCs/>
          <w:sz w:val="28"/>
          <w:szCs w:val="28"/>
          <w:rtl/>
        </w:rPr>
        <w:t xml:space="preserve"> כמלך גמור</w:t>
      </w:r>
      <w:r w:rsidRPr="00657E10">
        <w:rPr>
          <w:rFonts w:cs="David"/>
          <w:b/>
          <w:bCs/>
          <w:sz w:val="28"/>
          <w:szCs w:val="28"/>
        </w:rPr>
        <w:t xml:space="preserve"> </w:t>
      </w:r>
      <w:r w:rsidR="00657E10">
        <w:rPr>
          <w:rFonts w:cs="David" w:hint="cs"/>
          <w:b/>
          <w:bCs/>
          <w:sz w:val="28"/>
          <w:szCs w:val="28"/>
          <w:rtl/>
        </w:rPr>
        <w:t>-</w:t>
      </w:r>
      <w:r w:rsidRPr="00657E10">
        <w:rPr>
          <w:rFonts w:cs="David"/>
          <w:b/>
          <w:bCs/>
          <w:sz w:val="28"/>
          <w:szCs w:val="28"/>
        </w:rPr>
        <w:t xml:space="preserve"> </w:t>
      </w:r>
    </w:p>
    <w:p w:rsidR="00FD3A4E" w:rsidRPr="00DE4C8D" w:rsidRDefault="00AB7A62" w:rsidP="00AB7A62">
      <w:pPr>
        <w:spacing w:line="276" w:lineRule="auto"/>
        <w:jc w:val="both"/>
      </w:pPr>
      <w:r>
        <w:rPr>
          <w:b/>
          <w:bCs/>
          <w:sz w:val="28"/>
          <w:szCs w:val="28"/>
        </w:rPr>
        <w:t>Nevertheless</w:t>
      </w:r>
      <w:r w:rsidR="00FD3A4E">
        <w:rPr>
          <w:b/>
          <w:bCs/>
          <w:sz w:val="28"/>
          <w:szCs w:val="28"/>
        </w:rPr>
        <w:t xml:space="preserve"> they conducted themselves </w:t>
      </w:r>
      <w:r w:rsidR="00FD3A4E">
        <w:rPr>
          <w:sz w:val="28"/>
          <w:szCs w:val="28"/>
        </w:rPr>
        <w:t xml:space="preserve">towards him with an </w:t>
      </w:r>
      <w:r w:rsidR="00FD3A4E">
        <w:rPr>
          <w:b/>
          <w:bCs/>
          <w:sz w:val="28"/>
          <w:szCs w:val="28"/>
        </w:rPr>
        <w:t xml:space="preserve">honor </w:t>
      </w:r>
      <w:r w:rsidR="00FD3A4E" w:rsidRPr="00AB7A62">
        <w:rPr>
          <w:sz w:val="28"/>
          <w:szCs w:val="28"/>
        </w:rPr>
        <w:t xml:space="preserve">that is appropriate </w:t>
      </w:r>
      <w:r w:rsidR="00FD3A4E">
        <w:rPr>
          <w:b/>
          <w:bCs/>
          <w:sz w:val="28"/>
          <w:szCs w:val="28"/>
        </w:rPr>
        <w:t xml:space="preserve">as if </w:t>
      </w:r>
      <w:r w:rsidR="00FD3A4E">
        <w:rPr>
          <w:sz w:val="28"/>
          <w:szCs w:val="28"/>
        </w:rPr>
        <w:t xml:space="preserve">he were </w:t>
      </w:r>
      <w:r w:rsidR="00FD3A4E">
        <w:rPr>
          <w:b/>
          <w:bCs/>
          <w:sz w:val="28"/>
          <w:szCs w:val="28"/>
        </w:rPr>
        <w:t>a valid king.</w:t>
      </w:r>
      <w:r w:rsidR="003A0D50">
        <w:rPr>
          <w:b/>
          <w:bCs/>
          <w:sz w:val="28"/>
          <w:szCs w:val="28"/>
        </w:rPr>
        <w:t xml:space="preserve"> </w:t>
      </w:r>
      <w:r w:rsidR="003A0D50" w:rsidRPr="00DE4C8D">
        <w:t xml:space="preserve">Therefore since they treated him as royalty he cannot be </w:t>
      </w:r>
      <w:r w:rsidR="003A0D50" w:rsidRPr="00DE4C8D">
        <w:rPr>
          <w:rFonts w:hint="cs"/>
          <w:rtl/>
        </w:rPr>
        <w:t>מוחל</w:t>
      </w:r>
      <w:r w:rsidR="003A0D50" w:rsidRPr="00DE4C8D">
        <w:t xml:space="preserve"> on his </w:t>
      </w:r>
      <w:r w:rsidR="003A0D50" w:rsidRPr="00DE4C8D">
        <w:rPr>
          <w:rFonts w:hint="cs"/>
          <w:rtl/>
        </w:rPr>
        <w:t>כבוד</w:t>
      </w:r>
      <w:r w:rsidR="003A0D50" w:rsidRPr="00DE4C8D">
        <w:t>.</w:t>
      </w:r>
    </w:p>
    <w:p w:rsidR="003A0D50" w:rsidRPr="00DE4C8D" w:rsidRDefault="003A0D50" w:rsidP="00AB7A62">
      <w:pPr>
        <w:spacing w:line="276" w:lineRule="auto"/>
        <w:jc w:val="both"/>
      </w:pPr>
    </w:p>
    <w:p w:rsidR="003A0D50" w:rsidRPr="00AB7A62" w:rsidRDefault="003A0D50" w:rsidP="00AB7A6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B7A62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3A0D50" w:rsidRDefault="003A0D50" w:rsidP="00AB7A6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rule of </w:t>
      </w:r>
      <w:r>
        <w:rPr>
          <w:rFonts w:hint="cs"/>
          <w:sz w:val="28"/>
          <w:szCs w:val="28"/>
          <w:rtl/>
        </w:rPr>
        <w:t>מלך שמחל על כבודו אין כבודו מחול</w:t>
      </w:r>
      <w:r>
        <w:rPr>
          <w:sz w:val="28"/>
          <w:szCs w:val="28"/>
        </w:rPr>
        <w:t xml:space="preserve"> applies to any</w:t>
      </w:r>
      <w:r w:rsidR="00DE4C8D">
        <w:rPr>
          <w:sz w:val="28"/>
          <w:szCs w:val="28"/>
        </w:rPr>
        <w:t xml:space="preserve"> ‘king’ </w:t>
      </w:r>
      <w:r>
        <w:rPr>
          <w:sz w:val="28"/>
          <w:szCs w:val="28"/>
        </w:rPr>
        <w:t>who is accorded the respec</w:t>
      </w:r>
      <w:r w:rsidR="00DE4C8D">
        <w:rPr>
          <w:sz w:val="28"/>
          <w:szCs w:val="28"/>
        </w:rPr>
        <w:t>t</w:t>
      </w:r>
      <w:r>
        <w:rPr>
          <w:sz w:val="28"/>
          <w:szCs w:val="28"/>
        </w:rPr>
        <w:t xml:space="preserve"> reserved for royalty.</w:t>
      </w:r>
    </w:p>
    <w:p w:rsidR="00DE4C8D" w:rsidRPr="00DE4C8D" w:rsidRDefault="00DE4C8D" w:rsidP="00AB7A62">
      <w:pPr>
        <w:spacing w:line="276" w:lineRule="auto"/>
        <w:jc w:val="both"/>
      </w:pPr>
    </w:p>
    <w:p w:rsidR="00DE4C8D" w:rsidRPr="00AB7A62" w:rsidRDefault="00DE4C8D" w:rsidP="00AB7A6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B7A62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DE4C8D" w:rsidRPr="00DE4C8D" w:rsidRDefault="00DE4C8D" w:rsidP="00AB7A62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answered that </w:t>
      </w:r>
      <w:r>
        <w:rPr>
          <w:rFonts w:hint="cs"/>
          <w:sz w:val="28"/>
          <w:szCs w:val="28"/>
          <w:rtl/>
        </w:rPr>
        <w:t>אין כבודו מחול</w:t>
      </w:r>
      <w:r>
        <w:rPr>
          <w:sz w:val="28"/>
          <w:szCs w:val="28"/>
        </w:rPr>
        <w:t xml:space="preserve"> applies to </w:t>
      </w:r>
      <w:r>
        <w:rPr>
          <w:rFonts w:hint="cs"/>
          <w:sz w:val="28"/>
          <w:szCs w:val="28"/>
          <w:rtl/>
        </w:rPr>
        <w:t>אגריפס</w:t>
      </w:r>
      <w:r>
        <w:rPr>
          <w:sz w:val="28"/>
          <w:szCs w:val="28"/>
        </w:rPr>
        <w:t xml:space="preserve">, since they honored him as a king. Would this apply to anyone that is honored as a king or only to someone who actually is an ‘active king’ (as </w:t>
      </w:r>
      <w:r>
        <w:rPr>
          <w:rFonts w:hint="cs"/>
          <w:sz w:val="28"/>
          <w:szCs w:val="28"/>
          <w:rtl/>
        </w:rPr>
        <w:t>אגריפס</w:t>
      </w:r>
      <w:r>
        <w:rPr>
          <w:sz w:val="28"/>
          <w:szCs w:val="28"/>
        </w:rPr>
        <w:t>)?</w:t>
      </w:r>
    </w:p>
    <w:sectPr w:rsidR="00DE4C8D" w:rsidRPr="00DE4C8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129" w:rsidRDefault="00235129">
      <w:r>
        <w:separator/>
      </w:r>
    </w:p>
  </w:endnote>
  <w:endnote w:type="continuationSeparator" w:id="0">
    <w:p w:rsidR="00235129" w:rsidRDefault="0023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F5D" w:rsidRDefault="00F84F5D">
    <w:pPr>
      <w:pStyle w:val="Footer"/>
    </w:pPr>
  </w:p>
  <w:p w:rsidR="00F84F5D" w:rsidRPr="00EA5922" w:rsidRDefault="00F84F5D" w:rsidP="00EA5922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129" w:rsidRDefault="00235129">
      <w:r>
        <w:separator/>
      </w:r>
    </w:p>
  </w:footnote>
  <w:footnote w:type="continuationSeparator" w:id="0">
    <w:p w:rsidR="00235129" w:rsidRDefault="00235129">
      <w:r>
        <w:continuationSeparator/>
      </w:r>
    </w:p>
  </w:footnote>
  <w:footnote w:id="1">
    <w:p w:rsidR="00AB7A62" w:rsidRDefault="00AB7A62" w:rsidP="00657E10">
      <w:pPr>
        <w:pStyle w:val="FootnoteText"/>
        <w:spacing w:line="264" w:lineRule="auto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אגריפס המלך</w:t>
      </w:r>
      <w:r>
        <w:t xml:space="preserve"> was a descendant of </w:t>
      </w:r>
      <w:r>
        <w:rPr>
          <w:rFonts w:hint="cs"/>
          <w:rtl/>
        </w:rPr>
        <w:t>הורדוס</w:t>
      </w:r>
      <w:r>
        <w:t xml:space="preserve"> who was a slave of the </w:t>
      </w:r>
      <w:r>
        <w:rPr>
          <w:rFonts w:hint="cs"/>
          <w:rtl/>
        </w:rPr>
        <w:t>חשמונאים</w:t>
      </w:r>
      <w:r>
        <w:t>.</w:t>
      </w:r>
    </w:p>
  </w:footnote>
  <w:footnote w:id="2">
    <w:p w:rsidR="00AB7A62" w:rsidRDefault="00AB7A62" w:rsidP="00657E10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משנה</w:t>
      </w:r>
      <w:r>
        <w:t xml:space="preserve"> there relates that </w:t>
      </w:r>
      <w:r>
        <w:rPr>
          <w:rFonts w:hint="cs"/>
          <w:rtl/>
        </w:rPr>
        <w:t>אגריפס המלך</w:t>
      </w:r>
      <w:r>
        <w:t xml:space="preserve"> read the </w:t>
      </w:r>
      <w:r>
        <w:rPr>
          <w:rFonts w:hint="cs"/>
          <w:rtl/>
        </w:rPr>
        <w:t>תורה</w:t>
      </w:r>
      <w:r>
        <w:t xml:space="preserve"> on </w:t>
      </w:r>
      <w:r>
        <w:rPr>
          <w:rFonts w:hint="cs"/>
          <w:rtl/>
        </w:rPr>
        <w:t>הקהל</w:t>
      </w:r>
      <w:r>
        <w:t xml:space="preserve">. When he reached the </w:t>
      </w:r>
      <w:r>
        <w:rPr>
          <w:rFonts w:hint="cs"/>
          <w:rtl/>
        </w:rPr>
        <w:t>פסוק</w:t>
      </w:r>
      <w:r>
        <w:t xml:space="preserve"> of </w:t>
      </w:r>
      <w:r>
        <w:rPr>
          <w:rFonts w:hint="cs"/>
          <w:rtl/>
        </w:rPr>
        <w:t>לא תוכל לתת עליך איש נכרי</w:t>
      </w:r>
      <w:r>
        <w:t xml:space="preserve">, which prohibits the Jews from appointing a king who descends from slaves (like </w:t>
      </w:r>
      <w:r>
        <w:rPr>
          <w:rFonts w:hint="cs"/>
          <w:rtl/>
        </w:rPr>
        <w:t>אגריפס</w:t>
      </w:r>
      <w:r>
        <w:t xml:space="preserve">) [see also </w:t>
      </w:r>
      <w:r>
        <w:rPr>
          <w:rFonts w:hint="cs"/>
          <w:rtl/>
        </w:rPr>
        <w:t>ב"ב ג,ב תוס' ד"ה מאן</w:t>
      </w:r>
      <w:r>
        <w:t xml:space="preserve">], his eyes were tearing. This proves that he was not a valid king. The </w:t>
      </w:r>
      <w:r>
        <w:rPr>
          <w:rFonts w:hint="cs"/>
          <w:rtl/>
        </w:rPr>
        <w:t>משנה</w:t>
      </w:r>
      <w:r>
        <w:t xml:space="preserve"> there continues that the </w:t>
      </w:r>
      <w:r>
        <w:rPr>
          <w:rFonts w:hint="cs"/>
          <w:rtl/>
        </w:rPr>
        <w:t>חכמים</w:t>
      </w:r>
      <w:r>
        <w:t xml:space="preserve"> (nevertheless) calmed him by responding </w:t>
      </w:r>
      <w:r>
        <w:rPr>
          <w:rFonts w:hint="cs"/>
          <w:rtl/>
        </w:rPr>
        <w:t>אחינו אתה וכו'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F5D" w:rsidRDefault="00F84F5D" w:rsidP="00EA5922">
    <w:pPr>
      <w:pStyle w:val="Header"/>
      <w:bidi/>
      <w:rPr>
        <w:rFonts w:hint="cs"/>
        <w:rtl/>
      </w:rPr>
    </w:pPr>
    <w:r>
      <w:rPr>
        <w:rFonts w:hint="cs"/>
        <w:rtl/>
      </w:rPr>
      <w:t>בס"ד. כתובות יז,א תוס' ד"ה מלך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922"/>
    <w:rsid w:val="0003107B"/>
    <w:rsid w:val="00035D00"/>
    <w:rsid w:val="00037215"/>
    <w:rsid w:val="0004185B"/>
    <w:rsid w:val="00044CB8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21697"/>
    <w:rsid w:val="00233159"/>
    <w:rsid w:val="00235129"/>
    <w:rsid w:val="0024128D"/>
    <w:rsid w:val="002456D8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85C65"/>
    <w:rsid w:val="00387CF0"/>
    <w:rsid w:val="0039622B"/>
    <w:rsid w:val="003A0D50"/>
    <w:rsid w:val="003C2861"/>
    <w:rsid w:val="003D34E8"/>
    <w:rsid w:val="003E0B99"/>
    <w:rsid w:val="003E0BE9"/>
    <w:rsid w:val="003F0F83"/>
    <w:rsid w:val="0041626A"/>
    <w:rsid w:val="00442246"/>
    <w:rsid w:val="00453AFA"/>
    <w:rsid w:val="0045569C"/>
    <w:rsid w:val="004912CF"/>
    <w:rsid w:val="004C2792"/>
    <w:rsid w:val="004C38A4"/>
    <w:rsid w:val="004D44F9"/>
    <w:rsid w:val="004D743A"/>
    <w:rsid w:val="004F5CC8"/>
    <w:rsid w:val="00524098"/>
    <w:rsid w:val="00525981"/>
    <w:rsid w:val="00526332"/>
    <w:rsid w:val="005361BA"/>
    <w:rsid w:val="00543AAD"/>
    <w:rsid w:val="005474EF"/>
    <w:rsid w:val="00552A0A"/>
    <w:rsid w:val="00587A08"/>
    <w:rsid w:val="00594AD0"/>
    <w:rsid w:val="00594FFE"/>
    <w:rsid w:val="00596A4A"/>
    <w:rsid w:val="005C6F55"/>
    <w:rsid w:val="005D1BC8"/>
    <w:rsid w:val="005F66B6"/>
    <w:rsid w:val="00605401"/>
    <w:rsid w:val="00612505"/>
    <w:rsid w:val="00622F81"/>
    <w:rsid w:val="00623F59"/>
    <w:rsid w:val="00625363"/>
    <w:rsid w:val="00630E96"/>
    <w:rsid w:val="006313AE"/>
    <w:rsid w:val="00637A3C"/>
    <w:rsid w:val="00650215"/>
    <w:rsid w:val="00657E10"/>
    <w:rsid w:val="00662F36"/>
    <w:rsid w:val="00695D49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72923"/>
    <w:rsid w:val="00794B2B"/>
    <w:rsid w:val="007C662F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1199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931CD"/>
    <w:rsid w:val="009A5F36"/>
    <w:rsid w:val="009C6227"/>
    <w:rsid w:val="009E0383"/>
    <w:rsid w:val="009E2DE5"/>
    <w:rsid w:val="00A5142C"/>
    <w:rsid w:val="00A55D6A"/>
    <w:rsid w:val="00A5722D"/>
    <w:rsid w:val="00A603D1"/>
    <w:rsid w:val="00A619AB"/>
    <w:rsid w:val="00A74DFE"/>
    <w:rsid w:val="00A80985"/>
    <w:rsid w:val="00AA0A7C"/>
    <w:rsid w:val="00AB7A62"/>
    <w:rsid w:val="00AE7621"/>
    <w:rsid w:val="00AF6948"/>
    <w:rsid w:val="00B320A8"/>
    <w:rsid w:val="00B5520D"/>
    <w:rsid w:val="00B736BA"/>
    <w:rsid w:val="00B9107D"/>
    <w:rsid w:val="00BA0498"/>
    <w:rsid w:val="00BA0EA7"/>
    <w:rsid w:val="00BE5AB0"/>
    <w:rsid w:val="00BF3B4F"/>
    <w:rsid w:val="00C22F9E"/>
    <w:rsid w:val="00C2661A"/>
    <w:rsid w:val="00C32768"/>
    <w:rsid w:val="00C47587"/>
    <w:rsid w:val="00C50B9E"/>
    <w:rsid w:val="00C94D8F"/>
    <w:rsid w:val="00CB2EF7"/>
    <w:rsid w:val="00CE5DC6"/>
    <w:rsid w:val="00CF45CE"/>
    <w:rsid w:val="00D010DD"/>
    <w:rsid w:val="00D12A67"/>
    <w:rsid w:val="00D3329A"/>
    <w:rsid w:val="00D52FB7"/>
    <w:rsid w:val="00D5427B"/>
    <w:rsid w:val="00D76902"/>
    <w:rsid w:val="00D80322"/>
    <w:rsid w:val="00D87E4A"/>
    <w:rsid w:val="00DA6E08"/>
    <w:rsid w:val="00DB758C"/>
    <w:rsid w:val="00DD1D4A"/>
    <w:rsid w:val="00DD36BE"/>
    <w:rsid w:val="00DE4C8D"/>
    <w:rsid w:val="00DF057A"/>
    <w:rsid w:val="00DF0DA4"/>
    <w:rsid w:val="00E048F4"/>
    <w:rsid w:val="00E24AF7"/>
    <w:rsid w:val="00E51675"/>
    <w:rsid w:val="00E702AF"/>
    <w:rsid w:val="00E706E0"/>
    <w:rsid w:val="00E9460D"/>
    <w:rsid w:val="00E94F73"/>
    <w:rsid w:val="00EA276D"/>
    <w:rsid w:val="00EA5922"/>
    <w:rsid w:val="00EC0635"/>
    <w:rsid w:val="00EC4948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84F5D"/>
    <w:rsid w:val="00F931A0"/>
    <w:rsid w:val="00F93757"/>
    <w:rsid w:val="00F9736B"/>
    <w:rsid w:val="00FB2B15"/>
    <w:rsid w:val="00FD3A4E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E357AE-F201-4A32-8219-A4F940A1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A59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592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D3A4E"/>
    <w:rPr>
      <w:sz w:val="20"/>
      <w:szCs w:val="20"/>
    </w:rPr>
  </w:style>
  <w:style w:type="character" w:styleId="FootnoteReference">
    <w:name w:val="footnote reference"/>
    <w:semiHidden/>
    <w:rsid w:val="00FD3A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מלך שמחל על כבודו אין כבודו מחול – A king who </vt:lpstr>
    </vt:vector>
  </TitlesOfParts>
  <Company>Oholei Torah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מלך שמחל על כבודו אין כבודו מחול – A king who </dc:title>
  <dc:subject/>
  <dc:creator>Ephraim piekarski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