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FE7" w:rsidRPr="00225FE7" w:rsidRDefault="00ED39E6" w:rsidP="00B74AD6">
      <w:pPr>
        <w:bidi/>
        <w:spacing w:line="276" w:lineRule="auto"/>
        <w:jc w:val="both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</w:rPr>
        <w:t>פרשת</w:t>
      </w:r>
      <w:r>
        <w:rPr>
          <w:rFonts w:hint="cs"/>
          <w:b/>
          <w:bCs/>
          <w:sz w:val="32"/>
          <w:szCs w:val="32"/>
          <w:rtl/>
        </w:rPr>
        <w:t xml:space="preserve"> דרכים הואי</w:t>
      </w:r>
      <w:r w:rsidR="00225FE7">
        <w:rPr>
          <w:rFonts w:hint="cs"/>
          <w:b/>
          <w:bCs/>
          <w:sz w:val="32"/>
          <w:szCs w:val="32"/>
          <w:rtl/>
        </w:rPr>
        <w:t xml:space="preserve"> -                             </w:t>
      </w:r>
      <w:r w:rsidR="00B74AD6">
        <w:rPr>
          <w:b/>
          <w:bCs/>
          <w:sz w:val="32"/>
          <w:szCs w:val="32"/>
        </w:rPr>
        <w:t xml:space="preserve">   </w:t>
      </w:r>
      <w:r w:rsidR="00B74AD6">
        <w:rPr>
          <w:b/>
          <w:bCs/>
          <w:sz w:val="16"/>
          <w:szCs w:val="16"/>
        </w:rPr>
        <w:t xml:space="preserve">  </w:t>
      </w:r>
      <w:r w:rsidR="00225FE7">
        <w:rPr>
          <w:rFonts w:hint="cs"/>
          <w:b/>
          <w:bCs/>
          <w:sz w:val="32"/>
          <w:szCs w:val="32"/>
          <w:rtl/>
        </w:rPr>
        <w:t xml:space="preserve">        </w:t>
      </w:r>
      <w:r w:rsidR="00225FE7" w:rsidRPr="00225FE7">
        <w:rPr>
          <w:b/>
          <w:bCs/>
          <w:sz w:val="32"/>
          <w:szCs w:val="32"/>
        </w:rPr>
        <w:t>It was at a crossroads</w:t>
      </w:r>
    </w:p>
    <w:p w:rsidR="00ED39E6" w:rsidRDefault="00ED39E6" w:rsidP="00225FE7">
      <w:pPr>
        <w:spacing w:line="276" w:lineRule="auto"/>
        <w:jc w:val="both"/>
        <w:rPr>
          <w:b/>
          <w:bCs/>
        </w:rPr>
      </w:pPr>
    </w:p>
    <w:p w:rsidR="00ED39E6" w:rsidRPr="00225FE7" w:rsidRDefault="00725E29" w:rsidP="00225FE7">
      <w:pPr>
        <w:spacing w:line="276" w:lineRule="auto"/>
        <w:jc w:val="both"/>
        <w:rPr>
          <w:rFonts w:ascii="Copperplate Gothic Bold" w:hAnsi="Copperplate Gothic Bold"/>
          <w:b/>
          <w:bCs/>
          <w:sz w:val="28"/>
          <w:szCs w:val="28"/>
          <w:u w:val="double"/>
        </w:rPr>
      </w:pPr>
      <w:r w:rsidRPr="00225FE7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ED39E6" w:rsidRPr="00B005EF" w:rsidRDefault="00725E29" w:rsidP="00225FE7">
      <w:pPr>
        <w:spacing w:line="276" w:lineRule="auto"/>
        <w:jc w:val="both"/>
        <w:rPr>
          <w:sz w:val="28"/>
          <w:szCs w:val="28"/>
        </w:rPr>
      </w:pPr>
      <w:r w:rsidRPr="00B005EF">
        <w:rPr>
          <w:sz w:val="28"/>
          <w:szCs w:val="28"/>
        </w:rPr>
        <w:t xml:space="preserve">The </w:t>
      </w:r>
      <w:r w:rsidRPr="00B005EF">
        <w:rPr>
          <w:rFonts w:hint="cs"/>
          <w:sz w:val="28"/>
          <w:szCs w:val="28"/>
          <w:rtl/>
        </w:rPr>
        <w:t>גמרא</w:t>
      </w:r>
      <w:r w:rsidRPr="00B005EF">
        <w:rPr>
          <w:sz w:val="28"/>
          <w:szCs w:val="28"/>
        </w:rPr>
        <w:t xml:space="preserve"> questioned the conduct of </w:t>
      </w:r>
      <w:r w:rsidRPr="00B005EF">
        <w:rPr>
          <w:rFonts w:hint="cs"/>
          <w:sz w:val="28"/>
          <w:szCs w:val="28"/>
          <w:rtl/>
        </w:rPr>
        <w:t>אגריפס</w:t>
      </w:r>
      <w:r w:rsidRPr="00B005EF">
        <w:rPr>
          <w:sz w:val="28"/>
          <w:szCs w:val="28"/>
        </w:rPr>
        <w:t xml:space="preserve"> who yielded the right of way to a </w:t>
      </w:r>
      <w:r w:rsidRPr="00B005EF">
        <w:rPr>
          <w:rFonts w:hint="cs"/>
          <w:sz w:val="28"/>
          <w:szCs w:val="28"/>
          <w:rtl/>
        </w:rPr>
        <w:t>כלה</w:t>
      </w:r>
      <w:r w:rsidR="008F749A">
        <w:rPr>
          <w:sz w:val="28"/>
          <w:szCs w:val="28"/>
        </w:rPr>
        <w:t>;</w:t>
      </w:r>
      <w:r w:rsidRPr="00B005EF">
        <w:rPr>
          <w:sz w:val="28"/>
          <w:szCs w:val="28"/>
        </w:rPr>
        <w:t xml:space="preserve"> since </w:t>
      </w:r>
      <w:r w:rsidR="00201D97">
        <w:rPr>
          <w:rFonts w:hint="cs"/>
          <w:sz w:val="28"/>
          <w:szCs w:val="28"/>
          <w:rtl/>
        </w:rPr>
        <w:t xml:space="preserve">מלך שמחל על כבודו </w:t>
      </w:r>
      <w:r w:rsidRPr="00B005EF">
        <w:rPr>
          <w:rFonts w:hint="cs"/>
          <w:sz w:val="28"/>
          <w:szCs w:val="28"/>
          <w:rtl/>
        </w:rPr>
        <w:t>אין כבודו מחול</w:t>
      </w:r>
      <w:r w:rsidRPr="00B005EF">
        <w:rPr>
          <w:sz w:val="28"/>
          <w:szCs w:val="28"/>
        </w:rPr>
        <w:t xml:space="preserve">. The </w:t>
      </w:r>
      <w:r w:rsidRPr="00B005EF">
        <w:rPr>
          <w:rFonts w:hint="cs"/>
          <w:sz w:val="28"/>
          <w:szCs w:val="28"/>
          <w:rtl/>
        </w:rPr>
        <w:t>גמרא</w:t>
      </w:r>
      <w:r w:rsidRPr="00B005EF">
        <w:rPr>
          <w:sz w:val="28"/>
          <w:szCs w:val="28"/>
        </w:rPr>
        <w:t xml:space="preserve"> answered that it was not noticeable that he yielded, for it was at a crossroads. </w:t>
      </w:r>
      <w:r w:rsidRPr="00B005EF">
        <w:rPr>
          <w:rFonts w:hint="cs"/>
          <w:sz w:val="28"/>
          <w:szCs w:val="28"/>
          <w:rtl/>
        </w:rPr>
        <w:t>תוספות</w:t>
      </w:r>
      <w:r w:rsidRPr="00B005EF">
        <w:rPr>
          <w:sz w:val="28"/>
          <w:szCs w:val="28"/>
        </w:rPr>
        <w:t xml:space="preserve"> explains why the </w:t>
      </w:r>
      <w:r w:rsidRPr="00B005EF">
        <w:rPr>
          <w:rFonts w:hint="cs"/>
          <w:sz w:val="28"/>
          <w:szCs w:val="28"/>
          <w:rtl/>
        </w:rPr>
        <w:t>גמרא</w:t>
      </w:r>
      <w:r w:rsidRPr="00B005EF">
        <w:rPr>
          <w:sz w:val="28"/>
          <w:szCs w:val="28"/>
        </w:rPr>
        <w:t xml:space="preserve"> did not give another answer, which the </w:t>
      </w:r>
      <w:r w:rsidRPr="00B005EF">
        <w:rPr>
          <w:rFonts w:hint="cs"/>
          <w:sz w:val="28"/>
          <w:szCs w:val="28"/>
          <w:rtl/>
        </w:rPr>
        <w:t>גמרא</w:t>
      </w:r>
      <w:r w:rsidRPr="00B005EF">
        <w:rPr>
          <w:sz w:val="28"/>
          <w:szCs w:val="28"/>
        </w:rPr>
        <w:t xml:space="preserve"> utilizes elsewhere concerning this very issue.</w:t>
      </w:r>
    </w:p>
    <w:p w:rsidR="00725E29" w:rsidRPr="00B005EF" w:rsidRDefault="00B005EF" w:rsidP="00225FE7">
      <w:pPr>
        <w:spacing w:line="276" w:lineRule="auto"/>
        <w:jc w:val="center"/>
      </w:pPr>
      <w:r>
        <w:t>------------------</w:t>
      </w:r>
    </w:p>
    <w:p w:rsidR="00ED39E6" w:rsidRDefault="00ED39E6" w:rsidP="00225FE7">
      <w:pPr>
        <w:spacing w:line="276" w:lineRule="auto"/>
        <w:jc w:val="both"/>
      </w:pPr>
      <w:r>
        <w:rPr>
          <w:rFonts w:hint="cs"/>
          <w:rtl/>
        </w:rPr>
        <w:t>תוספות</w:t>
      </w:r>
      <w:r>
        <w:t xml:space="preserve"> anticipates a difficulty:</w:t>
      </w:r>
    </w:p>
    <w:p w:rsidR="00225FE7" w:rsidRPr="000D508E" w:rsidRDefault="00ED39E6" w:rsidP="000D508E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0D508E">
        <w:rPr>
          <w:rFonts w:cs="David" w:hint="cs"/>
          <w:b/>
          <w:bCs/>
          <w:sz w:val="28"/>
          <w:szCs w:val="28"/>
          <w:rtl/>
        </w:rPr>
        <w:t>הכא לא מצי לשנויי מצוה שאני</w:t>
      </w:r>
      <w:r w:rsidR="00225FE7" w:rsidRPr="000D508E">
        <w:rPr>
          <w:rFonts w:cs="David" w:hint="cs"/>
          <w:b/>
          <w:bCs/>
          <w:sz w:val="28"/>
          <w:szCs w:val="28"/>
          <w:rtl/>
        </w:rPr>
        <w:t xml:space="preserve"> כדמשני באלו נאמרין</w:t>
      </w:r>
      <w:r w:rsidR="00225FE7" w:rsidRPr="000D508E">
        <w:rPr>
          <w:rFonts w:cs="David" w:hint="cs"/>
          <w:b/>
          <w:bCs/>
          <w:sz w:val="20"/>
          <w:szCs w:val="20"/>
          <w:rtl/>
        </w:rPr>
        <w:t xml:space="preserve"> (גם זה שם)</w:t>
      </w:r>
      <w:r w:rsidR="00225FE7" w:rsidRPr="000D508E">
        <w:rPr>
          <w:rFonts w:cs="David" w:hint="cs"/>
          <w:b/>
          <w:bCs/>
          <w:sz w:val="28"/>
          <w:szCs w:val="28"/>
          <w:rtl/>
        </w:rPr>
        <w:t xml:space="preserve"> גבי שקרא מעומד</w:t>
      </w:r>
      <w:r w:rsidRPr="000D508E">
        <w:rPr>
          <w:rFonts w:cs="David"/>
          <w:b/>
          <w:bCs/>
          <w:sz w:val="28"/>
          <w:szCs w:val="28"/>
        </w:rPr>
        <w:t xml:space="preserve"> </w:t>
      </w:r>
      <w:r w:rsidR="000D508E">
        <w:rPr>
          <w:rFonts w:cs="David" w:hint="cs"/>
          <w:b/>
          <w:bCs/>
          <w:sz w:val="28"/>
          <w:szCs w:val="28"/>
          <w:rtl/>
        </w:rPr>
        <w:t>-</w:t>
      </w:r>
      <w:r w:rsidRPr="000D508E">
        <w:rPr>
          <w:rFonts w:cs="David"/>
          <w:b/>
          <w:bCs/>
          <w:sz w:val="28"/>
          <w:szCs w:val="28"/>
        </w:rPr>
        <w:t xml:space="preserve"> </w:t>
      </w:r>
    </w:p>
    <w:p w:rsidR="00ED39E6" w:rsidRPr="00B005EF" w:rsidRDefault="00ED39E6" w:rsidP="00225FE7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Here,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could not have answered </w:t>
      </w:r>
      <w:r>
        <w:rPr>
          <w:sz w:val="28"/>
          <w:szCs w:val="28"/>
        </w:rPr>
        <w:t xml:space="preserve">that by a </w:t>
      </w:r>
      <w:r>
        <w:rPr>
          <w:rFonts w:hint="cs"/>
          <w:b/>
          <w:bCs/>
          <w:sz w:val="28"/>
          <w:szCs w:val="28"/>
          <w:rtl/>
        </w:rPr>
        <w:t>מצוה</w:t>
      </w:r>
      <w:r>
        <w:rPr>
          <w:b/>
          <w:bCs/>
          <w:sz w:val="28"/>
          <w:szCs w:val="28"/>
        </w:rPr>
        <w:t xml:space="preserve"> it is different</w:t>
      </w:r>
      <w:r w:rsidR="00B005EF">
        <w:rPr>
          <w:b/>
          <w:bCs/>
          <w:sz w:val="28"/>
          <w:szCs w:val="28"/>
        </w:rPr>
        <w:t>;</w:t>
      </w:r>
      <w:r w:rsidR="00B005EF">
        <w:rPr>
          <w:sz w:val="28"/>
          <w:szCs w:val="28"/>
        </w:rPr>
        <w:t xml:space="preserve"> </w:t>
      </w:r>
      <w:r w:rsidR="00B005EF" w:rsidRPr="00225FE7">
        <w:rPr>
          <w:sz w:val="28"/>
          <w:szCs w:val="28"/>
        </w:rPr>
        <w:t>by</w:t>
      </w:r>
      <w:r w:rsidR="00B005EF" w:rsidRPr="00225FE7">
        <w:rPr>
          <w:sz w:val="32"/>
          <w:szCs w:val="32"/>
        </w:rPr>
        <w:t xml:space="preserve"> </w:t>
      </w:r>
      <w:r w:rsidR="00B005EF" w:rsidRPr="00225FE7">
        <w:rPr>
          <w:sz w:val="28"/>
          <w:szCs w:val="28"/>
        </w:rPr>
        <w:t xml:space="preserve">a </w:t>
      </w:r>
      <w:r w:rsidR="00B005EF" w:rsidRPr="00225FE7">
        <w:rPr>
          <w:rFonts w:hint="cs"/>
          <w:sz w:val="28"/>
          <w:szCs w:val="28"/>
          <w:rtl/>
        </w:rPr>
        <w:t>מצוה</w:t>
      </w:r>
      <w:r w:rsidR="00B005EF" w:rsidRPr="00225FE7">
        <w:rPr>
          <w:sz w:val="28"/>
          <w:szCs w:val="28"/>
        </w:rPr>
        <w:t xml:space="preserve"> the </w:t>
      </w:r>
      <w:r w:rsidR="00B005EF" w:rsidRPr="00225FE7">
        <w:rPr>
          <w:rFonts w:hint="cs"/>
          <w:sz w:val="28"/>
          <w:szCs w:val="28"/>
          <w:rtl/>
        </w:rPr>
        <w:t>כבוד</w:t>
      </w:r>
      <w:r w:rsidR="00B005EF" w:rsidRPr="00225FE7">
        <w:rPr>
          <w:sz w:val="28"/>
          <w:szCs w:val="28"/>
        </w:rPr>
        <w:t xml:space="preserve"> of a king is </w:t>
      </w:r>
      <w:r w:rsidR="00B005EF" w:rsidRPr="00225FE7">
        <w:rPr>
          <w:rFonts w:hint="cs"/>
          <w:sz w:val="28"/>
          <w:szCs w:val="28"/>
          <w:rtl/>
        </w:rPr>
        <w:t>מחול</w:t>
      </w:r>
      <w:r w:rsidR="00B005EF" w:rsidRPr="00225FE7">
        <w:rPr>
          <w:sz w:val="28"/>
          <w:szCs w:val="28"/>
        </w:rPr>
        <w:t xml:space="preserve"> if he so desires</w:t>
      </w:r>
      <w:r w:rsidR="000D508E">
        <w:rPr>
          <w:sz w:val="28"/>
          <w:szCs w:val="28"/>
        </w:rPr>
        <w:t>,</w:t>
      </w:r>
      <w:r w:rsidRPr="00225FE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as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answers in </w:t>
      </w:r>
      <w:r>
        <w:rPr>
          <w:rFonts w:hint="cs"/>
          <w:sz w:val="28"/>
          <w:szCs w:val="28"/>
          <w:rtl/>
        </w:rPr>
        <w:t>פרק</w:t>
      </w:r>
      <w:r>
        <w:rPr>
          <w:rFonts w:hint="cs"/>
          <w:b/>
          <w:bCs/>
          <w:sz w:val="28"/>
          <w:szCs w:val="28"/>
          <w:rtl/>
        </w:rPr>
        <w:t xml:space="preserve"> אלו נאמרין</w:t>
      </w:r>
      <w:r>
        <w:rPr>
          <w:b/>
          <w:bCs/>
          <w:sz w:val="28"/>
          <w:szCs w:val="28"/>
        </w:rPr>
        <w:t xml:space="preserve"> concerning </w:t>
      </w:r>
      <w:r>
        <w:rPr>
          <w:sz w:val="28"/>
          <w:szCs w:val="28"/>
        </w:rPr>
        <w:t>the issue</w:t>
      </w:r>
      <w:r w:rsidR="00B005E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that </w:t>
      </w:r>
      <w:r>
        <w:rPr>
          <w:rFonts w:hint="cs"/>
          <w:sz w:val="28"/>
          <w:szCs w:val="28"/>
          <w:rtl/>
        </w:rPr>
        <w:t>אגריפס המלך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read </w:t>
      </w:r>
      <w:r>
        <w:rPr>
          <w:sz w:val="28"/>
          <w:szCs w:val="28"/>
        </w:rPr>
        <w:t xml:space="preserve">the </w:t>
      </w:r>
      <w:r w:rsidR="009440BE">
        <w:rPr>
          <w:rFonts w:hint="cs"/>
          <w:sz w:val="28"/>
          <w:szCs w:val="28"/>
          <w:rtl/>
        </w:rPr>
        <w:t>תורה</w:t>
      </w:r>
      <w:r w:rsidR="009440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while he </w:t>
      </w:r>
      <w:r>
        <w:rPr>
          <w:b/>
          <w:bCs/>
          <w:sz w:val="28"/>
          <w:szCs w:val="28"/>
        </w:rPr>
        <w:t>was standing</w:t>
      </w:r>
      <w:r w:rsidR="00225FE7">
        <w:rPr>
          <w:b/>
          <w:bCs/>
          <w:sz w:val="28"/>
          <w:szCs w:val="28"/>
        </w:rPr>
        <w:t>.</w:t>
      </w:r>
      <w:r>
        <w:rPr>
          <w:rStyle w:val="FootnoteReference"/>
          <w:b/>
          <w:bCs/>
          <w:sz w:val="28"/>
          <w:szCs w:val="28"/>
        </w:rPr>
        <w:footnoteReference w:id="1"/>
      </w:r>
      <w:r w:rsidR="00901AF1">
        <w:rPr>
          <w:sz w:val="28"/>
          <w:szCs w:val="28"/>
        </w:rPr>
        <w:t xml:space="preserve"> </w:t>
      </w:r>
      <w:r w:rsidR="00901AF1" w:rsidRPr="00B005EF">
        <w:rPr>
          <w:rFonts w:hint="cs"/>
          <w:rtl/>
        </w:rPr>
        <w:t>תוספות</w:t>
      </w:r>
      <w:r w:rsidR="00901AF1" w:rsidRPr="00B005EF">
        <w:t xml:space="preserve"> (anticipated) question is why can we not say the same thing here concerning honoring a </w:t>
      </w:r>
      <w:r w:rsidR="00901AF1" w:rsidRPr="00B005EF">
        <w:rPr>
          <w:rFonts w:hint="cs"/>
          <w:rtl/>
        </w:rPr>
        <w:t>כלה</w:t>
      </w:r>
      <w:r w:rsidR="00901AF1" w:rsidRPr="00B005EF">
        <w:t xml:space="preserve">? It is a </w:t>
      </w:r>
      <w:r w:rsidR="00901AF1" w:rsidRPr="00B005EF">
        <w:rPr>
          <w:rFonts w:hint="cs"/>
          <w:rtl/>
        </w:rPr>
        <w:t>מצוה</w:t>
      </w:r>
      <w:r w:rsidR="00901AF1" w:rsidRPr="00B005EF">
        <w:t xml:space="preserve"> to honor the </w:t>
      </w:r>
      <w:r w:rsidR="00901AF1" w:rsidRPr="00B005EF">
        <w:rPr>
          <w:rFonts w:hint="cs"/>
          <w:rtl/>
        </w:rPr>
        <w:t>כלה</w:t>
      </w:r>
      <w:r w:rsidR="00901AF1" w:rsidRPr="00B005EF">
        <w:t xml:space="preserve">; therefore </w:t>
      </w:r>
      <w:r w:rsidR="00901AF1" w:rsidRPr="00B005EF">
        <w:rPr>
          <w:rFonts w:hint="cs"/>
          <w:rtl/>
        </w:rPr>
        <w:t>אגריפס</w:t>
      </w:r>
      <w:r w:rsidR="00901AF1" w:rsidRPr="00B005EF">
        <w:rPr>
          <w:b/>
          <w:bCs/>
        </w:rPr>
        <w:t xml:space="preserve"> </w:t>
      </w:r>
      <w:r w:rsidR="00901AF1" w:rsidRPr="00B005EF">
        <w:t xml:space="preserve">had the right to be </w:t>
      </w:r>
      <w:r w:rsidR="00901AF1" w:rsidRPr="00B005EF">
        <w:rPr>
          <w:rFonts w:hint="cs"/>
          <w:rtl/>
        </w:rPr>
        <w:t>מוחל</w:t>
      </w:r>
      <w:r w:rsidR="00901AF1" w:rsidRPr="00B005EF">
        <w:t xml:space="preserve"> his </w:t>
      </w:r>
      <w:r w:rsidR="00901AF1" w:rsidRPr="00B005EF">
        <w:rPr>
          <w:rFonts w:hint="cs"/>
          <w:rtl/>
        </w:rPr>
        <w:t>כבוד</w:t>
      </w:r>
      <w:r w:rsidR="00901AF1" w:rsidRPr="00B005EF">
        <w:t xml:space="preserve"> for the sake of a </w:t>
      </w:r>
      <w:r w:rsidR="00901AF1" w:rsidRPr="00B005EF">
        <w:rPr>
          <w:rFonts w:hint="cs"/>
          <w:rtl/>
        </w:rPr>
        <w:t>מצוה</w:t>
      </w:r>
      <w:r w:rsidR="00901AF1" w:rsidRPr="00B005EF">
        <w:t>.</w:t>
      </w:r>
      <w:r w:rsidR="00901AF1" w:rsidRPr="00B005EF">
        <w:rPr>
          <w:b/>
          <w:bCs/>
        </w:rPr>
        <w:t xml:space="preserve"> </w:t>
      </w:r>
    </w:p>
    <w:p w:rsidR="00901AF1" w:rsidRPr="00B005EF" w:rsidRDefault="00901AF1" w:rsidP="00225FE7">
      <w:pPr>
        <w:spacing w:line="276" w:lineRule="auto"/>
        <w:jc w:val="both"/>
      </w:pPr>
    </w:p>
    <w:p w:rsidR="00901AF1" w:rsidRPr="00B005EF" w:rsidRDefault="00901AF1" w:rsidP="00225FE7">
      <w:pPr>
        <w:spacing w:line="276" w:lineRule="auto"/>
        <w:jc w:val="both"/>
      </w:pPr>
      <w:r w:rsidRPr="00B005EF">
        <w:rPr>
          <w:rFonts w:hint="cs"/>
          <w:rtl/>
        </w:rPr>
        <w:t>תוספות</w:t>
      </w:r>
      <w:r w:rsidRPr="00B005EF">
        <w:t xml:space="preserve"> explains the difference between the two situations:</w:t>
      </w:r>
    </w:p>
    <w:p w:rsidR="00225FE7" w:rsidRPr="000D508E" w:rsidRDefault="00901AF1" w:rsidP="000D508E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0D508E">
        <w:rPr>
          <w:rFonts w:cs="David" w:hint="cs"/>
          <w:b/>
          <w:bCs/>
          <w:sz w:val="28"/>
          <w:szCs w:val="28"/>
          <w:rtl/>
        </w:rPr>
        <w:t>דהתם מצוה הוא</w:t>
      </w:r>
      <w:r w:rsidR="00225FE7" w:rsidRPr="000D508E">
        <w:rPr>
          <w:rFonts w:cs="David" w:hint="cs"/>
          <w:b/>
          <w:bCs/>
          <w:sz w:val="28"/>
          <w:szCs w:val="28"/>
          <w:rtl/>
        </w:rPr>
        <w:t xml:space="preserve"> שיש למלך לחלוק כבוד לתורה החשובה  ממנו</w:t>
      </w:r>
      <w:r w:rsidRPr="000D508E">
        <w:rPr>
          <w:rFonts w:cs="David"/>
          <w:b/>
          <w:bCs/>
          <w:sz w:val="28"/>
          <w:szCs w:val="28"/>
        </w:rPr>
        <w:t xml:space="preserve"> </w:t>
      </w:r>
      <w:r w:rsidR="000D508E">
        <w:rPr>
          <w:rFonts w:cs="David" w:hint="cs"/>
          <w:b/>
          <w:bCs/>
          <w:sz w:val="28"/>
          <w:szCs w:val="28"/>
          <w:rtl/>
        </w:rPr>
        <w:t>-</w:t>
      </w:r>
      <w:r w:rsidRPr="000D508E">
        <w:rPr>
          <w:rFonts w:cs="David"/>
          <w:b/>
          <w:bCs/>
          <w:sz w:val="28"/>
          <w:szCs w:val="28"/>
        </w:rPr>
        <w:t xml:space="preserve"> </w:t>
      </w:r>
    </w:p>
    <w:p w:rsidR="00901AF1" w:rsidRPr="00B005EF" w:rsidRDefault="00225FE7" w:rsidP="00225FE7">
      <w:pPr>
        <w:spacing w:line="276" w:lineRule="auto"/>
        <w:jc w:val="both"/>
      </w:pPr>
      <w:r>
        <w:rPr>
          <w:b/>
          <w:bCs/>
          <w:sz w:val="28"/>
          <w:szCs w:val="28"/>
        </w:rPr>
        <w:t>For</w:t>
      </w:r>
      <w:r w:rsidR="00901AF1">
        <w:rPr>
          <w:b/>
          <w:bCs/>
          <w:sz w:val="28"/>
          <w:szCs w:val="28"/>
        </w:rPr>
        <w:t xml:space="preserve"> there </w:t>
      </w:r>
      <w:r w:rsidR="00901AF1">
        <w:rPr>
          <w:sz w:val="28"/>
          <w:szCs w:val="28"/>
        </w:rPr>
        <w:t xml:space="preserve">(by the </w:t>
      </w:r>
      <w:r w:rsidR="00901AF1">
        <w:rPr>
          <w:rFonts w:hint="cs"/>
          <w:sz w:val="28"/>
          <w:szCs w:val="28"/>
          <w:rtl/>
        </w:rPr>
        <w:t>תורה</w:t>
      </w:r>
      <w:r w:rsidR="00901AF1">
        <w:rPr>
          <w:sz w:val="28"/>
          <w:szCs w:val="28"/>
        </w:rPr>
        <w:t xml:space="preserve"> reading) </w:t>
      </w:r>
      <w:r w:rsidR="00901AF1">
        <w:rPr>
          <w:b/>
          <w:bCs/>
          <w:sz w:val="28"/>
          <w:szCs w:val="28"/>
        </w:rPr>
        <w:t xml:space="preserve">it is </w:t>
      </w:r>
      <w:r w:rsidR="00901AF1">
        <w:rPr>
          <w:sz w:val="28"/>
          <w:szCs w:val="28"/>
        </w:rPr>
        <w:t xml:space="preserve">indeed </w:t>
      </w:r>
      <w:r w:rsidR="00901AF1">
        <w:rPr>
          <w:b/>
          <w:bCs/>
          <w:sz w:val="28"/>
          <w:szCs w:val="28"/>
        </w:rPr>
        <w:t xml:space="preserve">a </w:t>
      </w:r>
      <w:r w:rsidR="00901AF1">
        <w:rPr>
          <w:rFonts w:hint="cs"/>
          <w:b/>
          <w:bCs/>
          <w:sz w:val="28"/>
          <w:szCs w:val="28"/>
          <w:rtl/>
        </w:rPr>
        <w:t>מצוה</w:t>
      </w:r>
      <w:r>
        <w:rPr>
          <w:b/>
          <w:bCs/>
          <w:sz w:val="28"/>
          <w:szCs w:val="28"/>
        </w:rPr>
        <w:t>,</w:t>
      </w:r>
      <w:r w:rsidR="00901AF1">
        <w:rPr>
          <w:b/>
          <w:bCs/>
          <w:sz w:val="28"/>
          <w:szCs w:val="28"/>
        </w:rPr>
        <w:t xml:space="preserve"> for it is </w:t>
      </w:r>
      <w:r w:rsidR="00901AF1" w:rsidRPr="00901AF1">
        <w:rPr>
          <w:sz w:val="28"/>
          <w:szCs w:val="28"/>
        </w:rPr>
        <w:t>proper</w:t>
      </w:r>
      <w:r w:rsidR="00901AF1">
        <w:rPr>
          <w:b/>
          <w:bCs/>
          <w:sz w:val="28"/>
          <w:szCs w:val="28"/>
        </w:rPr>
        <w:t xml:space="preserve"> for the king to </w:t>
      </w:r>
      <w:r w:rsidR="008F749A">
        <w:rPr>
          <w:b/>
          <w:bCs/>
          <w:sz w:val="28"/>
          <w:szCs w:val="28"/>
        </w:rPr>
        <w:t>bestow</w:t>
      </w:r>
      <w:r w:rsidR="00901AF1">
        <w:rPr>
          <w:b/>
          <w:bCs/>
          <w:sz w:val="28"/>
          <w:szCs w:val="28"/>
        </w:rPr>
        <w:t xml:space="preserve"> honor </w:t>
      </w:r>
      <w:r w:rsidR="00901AF1">
        <w:rPr>
          <w:sz w:val="28"/>
          <w:szCs w:val="28"/>
        </w:rPr>
        <w:t xml:space="preserve">for the sake </w:t>
      </w:r>
      <w:r w:rsidR="00901AF1">
        <w:rPr>
          <w:b/>
          <w:bCs/>
          <w:sz w:val="28"/>
          <w:szCs w:val="28"/>
        </w:rPr>
        <w:t xml:space="preserve">of the </w:t>
      </w:r>
      <w:r w:rsidR="00901AF1">
        <w:rPr>
          <w:rFonts w:hint="cs"/>
          <w:b/>
          <w:bCs/>
          <w:sz w:val="28"/>
          <w:szCs w:val="28"/>
          <w:rtl/>
        </w:rPr>
        <w:t>תורה</w:t>
      </w:r>
      <w:r w:rsidR="00901AF1">
        <w:rPr>
          <w:b/>
          <w:bCs/>
          <w:sz w:val="28"/>
          <w:szCs w:val="28"/>
        </w:rPr>
        <w:t xml:space="preserve"> which </w:t>
      </w:r>
      <w:r w:rsidR="00901AF1">
        <w:rPr>
          <w:sz w:val="28"/>
          <w:szCs w:val="28"/>
        </w:rPr>
        <w:t xml:space="preserve">(the </w:t>
      </w:r>
      <w:r w:rsidR="00901AF1">
        <w:rPr>
          <w:rFonts w:hint="cs"/>
          <w:sz w:val="28"/>
          <w:szCs w:val="28"/>
          <w:rtl/>
        </w:rPr>
        <w:t>תורה</w:t>
      </w:r>
      <w:r w:rsidR="00901AF1">
        <w:rPr>
          <w:sz w:val="28"/>
          <w:szCs w:val="28"/>
        </w:rPr>
        <w:t xml:space="preserve">) </w:t>
      </w:r>
      <w:r w:rsidR="00901AF1">
        <w:rPr>
          <w:b/>
          <w:bCs/>
          <w:sz w:val="28"/>
          <w:szCs w:val="28"/>
        </w:rPr>
        <w:t xml:space="preserve">is more prominent than he </w:t>
      </w:r>
      <w:r w:rsidR="00901AF1" w:rsidRPr="00B005EF">
        <w:t>(</w:t>
      </w:r>
      <w:r w:rsidR="00901AF1" w:rsidRPr="00B005EF">
        <w:rPr>
          <w:rFonts w:hint="cs"/>
          <w:rtl/>
        </w:rPr>
        <w:t>אגריפס</w:t>
      </w:r>
      <w:r w:rsidR="00901AF1" w:rsidRPr="00B005EF">
        <w:t>)</w:t>
      </w:r>
      <w:r w:rsidR="00725E29" w:rsidRPr="00B005EF">
        <w:t xml:space="preserve">. That is why the </w:t>
      </w:r>
      <w:r w:rsidR="00725E29" w:rsidRPr="00B005EF">
        <w:rPr>
          <w:rFonts w:hint="cs"/>
          <w:rtl/>
        </w:rPr>
        <w:t>חכמים</w:t>
      </w:r>
      <w:r w:rsidR="00725E29" w:rsidRPr="00B005EF">
        <w:t xml:space="preserve"> praised </w:t>
      </w:r>
      <w:r w:rsidR="00725E29" w:rsidRPr="00B005EF">
        <w:rPr>
          <w:rFonts w:hint="cs"/>
          <w:rtl/>
        </w:rPr>
        <w:t>אגריפס</w:t>
      </w:r>
      <w:r w:rsidR="00725E29" w:rsidRPr="00B005EF">
        <w:t xml:space="preserve"> for so honoring the </w:t>
      </w:r>
      <w:r w:rsidR="00725E29" w:rsidRPr="00B005EF">
        <w:rPr>
          <w:rFonts w:hint="cs"/>
          <w:rtl/>
        </w:rPr>
        <w:t>תורה</w:t>
      </w:r>
      <w:r w:rsidR="00725E29" w:rsidRPr="00B005EF">
        <w:t xml:space="preserve"> in public.</w:t>
      </w:r>
      <w:r w:rsidR="00901AF1" w:rsidRPr="00B005EF">
        <w:t xml:space="preserve"> –</w:t>
      </w:r>
    </w:p>
    <w:p w:rsidR="00225FE7" w:rsidRPr="000D508E" w:rsidRDefault="00901AF1" w:rsidP="000D508E">
      <w:pPr>
        <w:bidi/>
        <w:spacing w:line="276" w:lineRule="auto"/>
        <w:jc w:val="both"/>
        <w:rPr>
          <w:b/>
          <w:bCs/>
          <w:sz w:val="28"/>
          <w:szCs w:val="28"/>
        </w:rPr>
      </w:pPr>
      <w:r w:rsidRPr="000D508E">
        <w:rPr>
          <w:rFonts w:cs="David" w:hint="cs"/>
          <w:b/>
          <w:bCs/>
          <w:sz w:val="28"/>
          <w:szCs w:val="28"/>
          <w:rtl/>
        </w:rPr>
        <w:t>אבל הכא ליכא מצוה</w:t>
      </w:r>
      <w:r w:rsidR="00225FE7" w:rsidRPr="000D508E">
        <w:rPr>
          <w:rFonts w:cs="David" w:hint="cs"/>
          <w:b/>
          <w:bCs/>
          <w:sz w:val="28"/>
          <w:szCs w:val="28"/>
          <w:rtl/>
        </w:rPr>
        <w:t xml:space="preserve"> דכבודו עדיף מכבוד הכלה</w:t>
      </w:r>
      <w:r w:rsidRPr="000D508E">
        <w:rPr>
          <w:rFonts w:cs="David"/>
          <w:b/>
          <w:bCs/>
          <w:sz w:val="28"/>
          <w:szCs w:val="28"/>
        </w:rPr>
        <w:t xml:space="preserve"> </w:t>
      </w:r>
      <w:r w:rsidR="000D508E">
        <w:rPr>
          <w:rFonts w:cs="David" w:hint="cs"/>
          <w:b/>
          <w:bCs/>
          <w:sz w:val="28"/>
          <w:szCs w:val="28"/>
          <w:rtl/>
        </w:rPr>
        <w:t>-</w:t>
      </w:r>
      <w:r w:rsidRPr="000D508E">
        <w:rPr>
          <w:b/>
          <w:bCs/>
          <w:sz w:val="28"/>
          <w:szCs w:val="28"/>
        </w:rPr>
        <w:t xml:space="preserve"> </w:t>
      </w:r>
    </w:p>
    <w:p w:rsidR="00901AF1" w:rsidRDefault="00901AF1" w:rsidP="00225FE7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However here </w:t>
      </w:r>
      <w:r>
        <w:rPr>
          <w:sz w:val="28"/>
          <w:szCs w:val="28"/>
        </w:rPr>
        <w:t xml:space="preserve">(by the </w:t>
      </w:r>
      <w:r>
        <w:rPr>
          <w:rFonts w:hint="cs"/>
          <w:sz w:val="28"/>
          <w:szCs w:val="28"/>
          <w:rtl/>
        </w:rPr>
        <w:t>כלה</w:t>
      </w:r>
      <w:r>
        <w:rPr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 xml:space="preserve">there is no </w:t>
      </w:r>
      <w:r>
        <w:rPr>
          <w:rFonts w:hint="cs"/>
          <w:b/>
          <w:bCs/>
          <w:sz w:val="28"/>
          <w:szCs w:val="28"/>
          <w:rtl/>
        </w:rPr>
        <w:t>מצוה</w:t>
      </w:r>
      <w:r>
        <w:rPr>
          <w:b/>
          <w:bCs/>
          <w:sz w:val="28"/>
          <w:szCs w:val="28"/>
        </w:rPr>
        <w:t xml:space="preserve"> </w:t>
      </w:r>
      <w:r w:rsidRPr="00225FE7">
        <w:rPr>
          <w:sz w:val="28"/>
          <w:szCs w:val="28"/>
        </w:rPr>
        <w:t xml:space="preserve">for the king to respect the </w:t>
      </w:r>
      <w:r w:rsidRPr="00225FE7">
        <w:rPr>
          <w:rFonts w:hint="cs"/>
          <w:sz w:val="28"/>
          <w:szCs w:val="28"/>
          <w:rtl/>
        </w:rPr>
        <w:t>כלה</w:t>
      </w:r>
      <w:r w:rsidR="00225FE7">
        <w:rPr>
          <w:sz w:val="28"/>
          <w:szCs w:val="28"/>
        </w:rPr>
        <w:t>,</w:t>
      </w:r>
      <w:r w:rsidRPr="00225FE7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for his </w:t>
      </w:r>
      <w:r>
        <w:rPr>
          <w:sz w:val="28"/>
          <w:szCs w:val="28"/>
        </w:rPr>
        <w:t xml:space="preserve">(the king’s) </w:t>
      </w:r>
      <w:r>
        <w:rPr>
          <w:b/>
          <w:bCs/>
          <w:sz w:val="28"/>
          <w:szCs w:val="28"/>
        </w:rPr>
        <w:t>honor is greater tha</w:t>
      </w:r>
      <w:r w:rsidR="00725E29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 xml:space="preserve"> the honor </w:t>
      </w:r>
      <w:r>
        <w:rPr>
          <w:sz w:val="28"/>
          <w:szCs w:val="28"/>
        </w:rPr>
        <w:t xml:space="preserve">due to </w:t>
      </w:r>
      <w:r>
        <w:rPr>
          <w:b/>
          <w:bCs/>
          <w:sz w:val="28"/>
          <w:szCs w:val="28"/>
        </w:rPr>
        <w:t xml:space="preserve">the </w:t>
      </w:r>
      <w:r>
        <w:rPr>
          <w:rFonts w:hint="cs"/>
          <w:b/>
          <w:bCs/>
          <w:sz w:val="28"/>
          <w:szCs w:val="28"/>
          <w:rtl/>
        </w:rPr>
        <w:t>כלה</w:t>
      </w:r>
      <w:r>
        <w:rPr>
          <w:b/>
          <w:bCs/>
          <w:sz w:val="28"/>
          <w:szCs w:val="28"/>
        </w:rPr>
        <w:t>.</w:t>
      </w:r>
      <w:r w:rsidR="00725E29">
        <w:rPr>
          <w:sz w:val="28"/>
          <w:szCs w:val="28"/>
        </w:rPr>
        <w:t xml:space="preserve"> </w:t>
      </w:r>
      <w:r w:rsidR="00725E29" w:rsidRPr="00B005EF">
        <w:t xml:space="preserve">The requirement for honoring a </w:t>
      </w:r>
      <w:r w:rsidR="00725E29" w:rsidRPr="00B005EF">
        <w:rPr>
          <w:rFonts w:hint="cs"/>
          <w:rtl/>
        </w:rPr>
        <w:t>כלה</w:t>
      </w:r>
      <w:r w:rsidR="00725E29" w:rsidRPr="00B005EF">
        <w:t xml:space="preserve"> does not apply to a king; therefore there is no </w:t>
      </w:r>
      <w:r w:rsidR="00725E29" w:rsidRPr="00B005EF">
        <w:rPr>
          <w:rFonts w:hint="cs"/>
          <w:rtl/>
        </w:rPr>
        <w:t>מצוה</w:t>
      </w:r>
      <w:r w:rsidR="00725E29" w:rsidRPr="00B005EF">
        <w:t xml:space="preserve"> at all.</w:t>
      </w:r>
    </w:p>
    <w:p w:rsidR="00B005EF" w:rsidRDefault="00B005EF" w:rsidP="00225FE7">
      <w:pPr>
        <w:spacing w:line="276" w:lineRule="auto"/>
        <w:jc w:val="both"/>
      </w:pPr>
    </w:p>
    <w:p w:rsidR="00B005EF" w:rsidRPr="00225FE7" w:rsidRDefault="00B005EF" w:rsidP="00225FE7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225FE7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B005EF" w:rsidRDefault="00B005EF" w:rsidP="00225FE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is no </w:t>
      </w:r>
      <w:r>
        <w:rPr>
          <w:rFonts w:hint="cs"/>
          <w:sz w:val="28"/>
          <w:szCs w:val="28"/>
          <w:rtl/>
        </w:rPr>
        <w:t>מצוה</w:t>
      </w:r>
      <w:r>
        <w:rPr>
          <w:sz w:val="28"/>
          <w:szCs w:val="28"/>
        </w:rPr>
        <w:t xml:space="preserve"> at all for a king to honor a </w:t>
      </w:r>
      <w:r>
        <w:rPr>
          <w:rFonts w:hint="cs"/>
          <w:sz w:val="28"/>
          <w:szCs w:val="28"/>
          <w:rtl/>
        </w:rPr>
        <w:t>כלה</w:t>
      </w:r>
      <w:r>
        <w:rPr>
          <w:sz w:val="28"/>
          <w:szCs w:val="28"/>
        </w:rPr>
        <w:t>.</w:t>
      </w:r>
    </w:p>
    <w:p w:rsidR="00B005EF" w:rsidRPr="00B005EF" w:rsidRDefault="00B005EF" w:rsidP="00225FE7">
      <w:pPr>
        <w:spacing w:line="276" w:lineRule="auto"/>
        <w:jc w:val="both"/>
      </w:pPr>
    </w:p>
    <w:p w:rsidR="00B005EF" w:rsidRPr="00225FE7" w:rsidRDefault="00B005EF" w:rsidP="000D508E">
      <w:pPr>
        <w:widowControl w:val="0"/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225FE7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B005EF" w:rsidRPr="00B005EF" w:rsidRDefault="00B005EF" w:rsidP="000D508E">
      <w:pPr>
        <w:widowControl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What would be the difference </w:t>
      </w:r>
      <w:r>
        <w:rPr>
          <w:rFonts w:hint="cs"/>
          <w:sz w:val="28"/>
          <w:szCs w:val="28"/>
          <w:rtl/>
        </w:rPr>
        <w:t>(להלכה)</w:t>
      </w:r>
      <w:r>
        <w:rPr>
          <w:sz w:val="28"/>
          <w:szCs w:val="28"/>
        </w:rPr>
        <w:t xml:space="preserve"> if 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would have answered in the way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suggested originally?</w:t>
      </w:r>
    </w:p>
    <w:p w:rsidR="00B005EF" w:rsidRDefault="00B005EF" w:rsidP="000D508E">
      <w:pPr>
        <w:widowControl w:val="0"/>
        <w:spacing w:line="276" w:lineRule="auto"/>
        <w:rPr>
          <w:sz w:val="28"/>
          <w:szCs w:val="28"/>
        </w:rPr>
      </w:pPr>
    </w:p>
    <w:p w:rsidR="00B005EF" w:rsidRPr="00B005EF" w:rsidRDefault="00B005EF" w:rsidP="00225FE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2. If the </w:t>
      </w:r>
      <w:r>
        <w:rPr>
          <w:rFonts w:hint="cs"/>
          <w:sz w:val="28"/>
          <w:szCs w:val="28"/>
          <w:rtl/>
        </w:rPr>
        <w:t>תורה</w:t>
      </w:r>
      <w:r>
        <w:rPr>
          <w:sz w:val="28"/>
          <w:szCs w:val="28"/>
        </w:rPr>
        <w:t xml:space="preserve"> is more </w:t>
      </w:r>
      <w:r>
        <w:rPr>
          <w:rFonts w:hint="cs"/>
          <w:sz w:val="28"/>
          <w:szCs w:val="28"/>
          <w:rtl/>
        </w:rPr>
        <w:t>חשוב</w:t>
      </w:r>
      <w:r>
        <w:rPr>
          <w:sz w:val="28"/>
          <w:szCs w:val="28"/>
        </w:rPr>
        <w:t xml:space="preserve"> than a king, then why does the king read it sitting?</w:t>
      </w:r>
    </w:p>
    <w:sectPr w:rsidR="00B005EF" w:rsidRPr="00B005EF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BC2" w:rsidRDefault="00E11BC2">
      <w:r>
        <w:separator/>
      </w:r>
    </w:p>
  </w:endnote>
  <w:endnote w:type="continuationSeparator" w:id="0">
    <w:p w:rsidR="00E11BC2" w:rsidRDefault="00E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D97" w:rsidRDefault="00201D97">
    <w:pPr>
      <w:pStyle w:val="Footer"/>
      <w:jc w:val="center"/>
      <w:rPr>
        <w:rFonts w:hint="cs"/>
        <w:noProof/>
        <w:sz w:val="16"/>
        <w:szCs w:val="16"/>
        <w:rtl/>
      </w:rPr>
    </w:pPr>
    <w:r w:rsidRPr="00201D97">
      <w:rPr>
        <w:sz w:val="20"/>
        <w:szCs w:val="20"/>
      </w:rPr>
      <w:fldChar w:fldCharType="begin"/>
    </w:r>
    <w:r w:rsidRPr="00201D97">
      <w:rPr>
        <w:sz w:val="20"/>
        <w:szCs w:val="20"/>
      </w:rPr>
      <w:instrText xml:space="preserve"> PAGE   \* MERGEFORMAT </w:instrText>
    </w:r>
    <w:r w:rsidRPr="00201D97">
      <w:rPr>
        <w:sz w:val="20"/>
        <w:szCs w:val="20"/>
      </w:rPr>
      <w:fldChar w:fldCharType="separate"/>
    </w:r>
    <w:r w:rsidR="00AC6F1A">
      <w:rPr>
        <w:noProof/>
        <w:sz w:val="20"/>
        <w:szCs w:val="20"/>
      </w:rPr>
      <w:t>2</w:t>
    </w:r>
    <w:r w:rsidRPr="00201D97">
      <w:rPr>
        <w:noProof/>
        <w:sz w:val="20"/>
        <w:szCs w:val="20"/>
      </w:rPr>
      <w:fldChar w:fldCharType="end"/>
    </w:r>
  </w:p>
  <w:p w:rsidR="00201D97" w:rsidRPr="00201D97" w:rsidRDefault="00201D97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8F749A" w:rsidRPr="00ED39E6" w:rsidRDefault="008F749A" w:rsidP="00ED39E6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BC2" w:rsidRDefault="00E11BC2">
      <w:r>
        <w:separator/>
      </w:r>
    </w:p>
  </w:footnote>
  <w:footnote w:type="continuationSeparator" w:id="0">
    <w:p w:rsidR="00E11BC2" w:rsidRDefault="00E11BC2">
      <w:r>
        <w:continuationSeparator/>
      </w:r>
    </w:p>
  </w:footnote>
  <w:footnote w:id="1">
    <w:p w:rsidR="008F749A" w:rsidRDefault="008F749A" w:rsidP="00225FE7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משנה</w:t>
      </w:r>
      <w:r>
        <w:t xml:space="preserve"> there (in </w:t>
      </w:r>
      <w:r>
        <w:rPr>
          <w:rFonts w:hint="cs"/>
          <w:rtl/>
        </w:rPr>
        <w:t>מס' סוטה</w:t>
      </w:r>
      <w:r>
        <w:t xml:space="preserve">) states that the king reads </w:t>
      </w:r>
      <w:r>
        <w:rPr>
          <w:rFonts w:hint="cs"/>
          <w:rtl/>
        </w:rPr>
        <w:t>פרשת המלך</w:t>
      </w:r>
      <w:r>
        <w:t xml:space="preserve"> on </w:t>
      </w:r>
      <w:r>
        <w:rPr>
          <w:rFonts w:hint="cs"/>
          <w:rtl/>
        </w:rPr>
        <w:t>הקהל</w:t>
      </w:r>
      <w:r>
        <w:t xml:space="preserve"> while he is seated. The </w:t>
      </w:r>
      <w:r>
        <w:rPr>
          <w:rFonts w:hint="cs"/>
          <w:rtl/>
        </w:rPr>
        <w:t>משנה</w:t>
      </w:r>
      <w:r>
        <w:t xml:space="preserve"> then relates that </w:t>
      </w:r>
      <w:r>
        <w:rPr>
          <w:rFonts w:hint="cs"/>
          <w:rtl/>
        </w:rPr>
        <w:t>אגריפס המלך</w:t>
      </w:r>
      <w:r>
        <w:t xml:space="preserve"> read </w:t>
      </w:r>
      <w:r>
        <w:rPr>
          <w:rFonts w:hint="cs"/>
          <w:rtl/>
        </w:rPr>
        <w:t>פרשת המלך</w:t>
      </w:r>
      <w:r>
        <w:t xml:space="preserve"> while he was standing and the </w:t>
      </w:r>
      <w:r>
        <w:rPr>
          <w:rFonts w:hint="cs"/>
          <w:rtl/>
        </w:rPr>
        <w:t>חכמים</w:t>
      </w:r>
      <w:r>
        <w:t xml:space="preserve"> praised him. The </w:t>
      </w:r>
      <w:r>
        <w:rPr>
          <w:rFonts w:hint="cs"/>
          <w:rtl/>
        </w:rPr>
        <w:t>גמרא</w:t>
      </w:r>
      <w:r>
        <w:t xml:space="preserve"> there </w:t>
      </w:r>
      <w:r>
        <w:rPr>
          <w:rFonts w:hint="cs"/>
          <w:rtl/>
        </w:rPr>
        <w:t>(ע"ב)</w:t>
      </w:r>
      <w:r>
        <w:t xml:space="preserve"> asks why was </w:t>
      </w:r>
      <w:r>
        <w:rPr>
          <w:rFonts w:hint="cs"/>
          <w:rtl/>
        </w:rPr>
        <w:t>אגריפס</w:t>
      </w:r>
      <w:r>
        <w:t xml:space="preserve"> praised for reading standing, if the king should be seated; it is </w:t>
      </w:r>
      <w:r>
        <w:rPr>
          <w:rFonts w:hint="cs"/>
          <w:rtl/>
        </w:rPr>
        <w:t>אין כבודו מחול</w:t>
      </w:r>
      <w:r>
        <w:t xml:space="preserve">?! The </w:t>
      </w:r>
      <w:r>
        <w:rPr>
          <w:rFonts w:hint="cs"/>
          <w:rtl/>
        </w:rPr>
        <w:t>גמרא</w:t>
      </w:r>
      <w:r>
        <w:t xml:space="preserve"> answers that </w:t>
      </w:r>
      <w:r>
        <w:rPr>
          <w:rFonts w:hint="cs"/>
          <w:rtl/>
        </w:rPr>
        <w:t>מצוה שאני</w:t>
      </w:r>
      <w:r>
        <w:t xml:space="preserve">, for a </w:t>
      </w:r>
      <w:r>
        <w:rPr>
          <w:rFonts w:hint="cs"/>
          <w:rtl/>
        </w:rPr>
        <w:t>מצוה</w:t>
      </w:r>
      <w:r>
        <w:t xml:space="preserve"> a king can be </w:t>
      </w:r>
      <w:r>
        <w:rPr>
          <w:rFonts w:hint="cs"/>
          <w:rtl/>
        </w:rPr>
        <w:t>מוחל</w:t>
      </w:r>
      <w:r>
        <w:t xml:space="preserve"> his </w:t>
      </w:r>
      <w:r>
        <w:rPr>
          <w:rFonts w:hint="cs"/>
          <w:rtl/>
        </w:rPr>
        <w:t>כבוד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49A" w:rsidRDefault="008F749A" w:rsidP="00ED39E6">
    <w:pPr>
      <w:pStyle w:val="Header"/>
      <w:bidi/>
      <w:rPr>
        <w:rFonts w:hint="cs"/>
        <w:rtl/>
      </w:rPr>
    </w:pPr>
    <w:r>
      <w:rPr>
        <w:rFonts w:hint="cs"/>
        <w:rtl/>
      </w:rPr>
      <w:t>בס"ד. כתובות יז,א תוס' ד"ה פרשת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39E6"/>
    <w:rsid w:val="0003107B"/>
    <w:rsid w:val="00035D00"/>
    <w:rsid w:val="00037215"/>
    <w:rsid w:val="00047EB7"/>
    <w:rsid w:val="000523E2"/>
    <w:rsid w:val="0005681E"/>
    <w:rsid w:val="00061E9F"/>
    <w:rsid w:val="000661DF"/>
    <w:rsid w:val="00074E53"/>
    <w:rsid w:val="000825A6"/>
    <w:rsid w:val="00084A99"/>
    <w:rsid w:val="00094EB6"/>
    <w:rsid w:val="0009659D"/>
    <w:rsid w:val="000A234E"/>
    <w:rsid w:val="000A66FC"/>
    <w:rsid w:val="000A704E"/>
    <w:rsid w:val="000B377B"/>
    <w:rsid w:val="000C21FA"/>
    <w:rsid w:val="000C65DD"/>
    <w:rsid w:val="000D508E"/>
    <w:rsid w:val="000D6702"/>
    <w:rsid w:val="00103B51"/>
    <w:rsid w:val="00112C69"/>
    <w:rsid w:val="0015643F"/>
    <w:rsid w:val="00171949"/>
    <w:rsid w:val="00171ED6"/>
    <w:rsid w:val="001722B4"/>
    <w:rsid w:val="00183AF3"/>
    <w:rsid w:val="001938B0"/>
    <w:rsid w:val="001A5235"/>
    <w:rsid w:val="001B01D8"/>
    <w:rsid w:val="001B2BF9"/>
    <w:rsid w:val="001C19C3"/>
    <w:rsid w:val="001C496B"/>
    <w:rsid w:val="001E2618"/>
    <w:rsid w:val="00201D97"/>
    <w:rsid w:val="00221697"/>
    <w:rsid w:val="00225FE7"/>
    <w:rsid w:val="00233159"/>
    <w:rsid w:val="0024128D"/>
    <w:rsid w:val="002456D8"/>
    <w:rsid w:val="002645F1"/>
    <w:rsid w:val="0027005E"/>
    <w:rsid w:val="002870E1"/>
    <w:rsid w:val="00293A47"/>
    <w:rsid w:val="002A6061"/>
    <w:rsid w:val="002A792F"/>
    <w:rsid w:val="002B4135"/>
    <w:rsid w:val="002D3CFC"/>
    <w:rsid w:val="002E39F1"/>
    <w:rsid w:val="002E39F2"/>
    <w:rsid w:val="00311EC8"/>
    <w:rsid w:val="0031575F"/>
    <w:rsid w:val="0031695C"/>
    <w:rsid w:val="00317453"/>
    <w:rsid w:val="003203FB"/>
    <w:rsid w:val="003206C1"/>
    <w:rsid w:val="00337C06"/>
    <w:rsid w:val="00385C65"/>
    <w:rsid w:val="00387CF0"/>
    <w:rsid w:val="0039622B"/>
    <w:rsid w:val="003C2861"/>
    <w:rsid w:val="003D34E8"/>
    <w:rsid w:val="003E0B99"/>
    <w:rsid w:val="003E0BE9"/>
    <w:rsid w:val="003F0F83"/>
    <w:rsid w:val="0041626A"/>
    <w:rsid w:val="00442246"/>
    <w:rsid w:val="0045569C"/>
    <w:rsid w:val="004912CF"/>
    <w:rsid w:val="004C2792"/>
    <w:rsid w:val="004D44F9"/>
    <w:rsid w:val="004D743A"/>
    <w:rsid w:val="004F5CC8"/>
    <w:rsid w:val="00524098"/>
    <w:rsid w:val="00525981"/>
    <w:rsid w:val="00526332"/>
    <w:rsid w:val="005361BA"/>
    <w:rsid w:val="00543AAD"/>
    <w:rsid w:val="00552A0A"/>
    <w:rsid w:val="00587A08"/>
    <w:rsid w:val="00594AD0"/>
    <w:rsid w:val="00594FFE"/>
    <w:rsid w:val="00596A4A"/>
    <w:rsid w:val="005C6F55"/>
    <w:rsid w:val="005D1BC8"/>
    <w:rsid w:val="00612505"/>
    <w:rsid w:val="00622F81"/>
    <w:rsid w:val="00623F59"/>
    <w:rsid w:val="00625363"/>
    <w:rsid w:val="00630E96"/>
    <w:rsid w:val="006313AE"/>
    <w:rsid w:val="00637A3C"/>
    <w:rsid w:val="0064738F"/>
    <w:rsid w:val="00650215"/>
    <w:rsid w:val="00662F36"/>
    <w:rsid w:val="006A654B"/>
    <w:rsid w:val="006B38B6"/>
    <w:rsid w:val="006B6A05"/>
    <w:rsid w:val="006D15F5"/>
    <w:rsid w:val="006D1EB7"/>
    <w:rsid w:val="006D27A1"/>
    <w:rsid w:val="006E3BC2"/>
    <w:rsid w:val="006E6E64"/>
    <w:rsid w:val="006F5322"/>
    <w:rsid w:val="007044D2"/>
    <w:rsid w:val="007063AE"/>
    <w:rsid w:val="00706BF6"/>
    <w:rsid w:val="00715225"/>
    <w:rsid w:val="00725E29"/>
    <w:rsid w:val="007454A5"/>
    <w:rsid w:val="007579D2"/>
    <w:rsid w:val="007608FB"/>
    <w:rsid w:val="00761D2D"/>
    <w:rsid w:val="00794B2B"/>
    <w:rsid w:val="007C662F"/>
    <w:rsid w:val="007E5721"/>
    <w:rsid w:val="00800D57"/>
    <w:rsid w:val="0080628F"/>
    <w:rsid w:val="00810514"/>
    <w:rsid w:val="008247DD"/>
    <w:rsid w:val="00853C28"/>
    <w:rsid w:val="00862034"/>
    <w:rsid w:val="00862D1D"/>
    <w:rsid w:val="00864E57"/>
    <w:rsid w:val="00865D0F"/>
    <w:rsid w:val="00870857"/>
    <w:rsid w:val="00875674"/>
    <w:rsid w:val="00896A68"/>
    <w:rsid w:val="00897BDD"/>
    <w:rsid w:val="008A13DB"/>
    <w:rsid w:val="008A51A6"/>
    <w:rsid w:val="008B02E6"/>
    <w:rsid w:val="008C3899"/>
    <w:rsid w:val="008D06BE"/>
    <w:rsid w:val="008D416B"/>
    <w:rsid w:val="008D551A"/>
    <w:rsid w:val="008D7B53"/>
    <w:rsid w:val="008F749A"/>
    <w:rsid w:val="008F7F09"/>
    <w:rsid w:val="00901AF1"/>
    <w:rsid w:val="00901B45"/>
    <w:rsid w:val="009126E7"/>
    <w:rsid w:val="009440BE"/>
    <w:rsid w:val="009517F7"/>
    <w:rsid w:val="00977898"/>
    <w:rsid w:val="009931CD"/>
    <w:rsid w:val="009A5F36"/>
    <w:rsid w:val="009C6227"/>
    <w:rsid w:val="009E0383"/>
    <w:rsid w:val="009E2DE5"/>
    <w:rsid w:val="00A14768"/>
    <w:rsid w:val="00A5142C"/>
    <w:rsid w:val="00A55D6A"/>
    <w:rsid w:val="00A5722D"/>
    <w:rsid w:val="00A603D1"/>
    <w:rsid w:val="00A619AB"/>
    <w:rsid w:val="00A74DFE"/>
    <w:rsid w:val="00A80985"/>
    <w:rsid w:val="00AA0A7C"/>
    <w:rsid w:val="00AC6F1A"/>
    <w:rsid w:val="00AE7621"/>
    <w:rsid w:val="00AF6948"/>
    <w:rsid w:val="00B005EF"/>
    <w:rsid w:val="00B320A8"/>
    <w:rsid w:val="00B52129"/>
    <w:rsid w:val="00B5520D"/>
    <w:rsid w:val="00B736BA"/>
    <w:rsid w:val="00B74AD6"/>
    <w:rsid w:val="00B9107D"/>
    <w:rsid w:val="00BA0498"/>
    <w:rsid w:val="00BA0EA7"/>
    <w:rsid w:val="00BE5AB0"/>
    <w:rsid w:val="00C2661A"/>
    <w:rsid w:val="00C32768"/>
    <w:rsid w:val="00C47587"/>
    <w:rsid w:val="00C50B9E"/>
    <w:rsid w:val="00C56F9B"/>
    <w:rsid w:val="00C94D8F"/>
    <w:rsid w:val="00CB2EF7"/>
    <w:rsid w:val="00CE5DC6"/>
    <w:rsid w:val="00CF45CE"/>
    <w:rsid w:val="00D010DD"/>
    <w:rsid w:val="00D12A67"/>
    <w:rsid w:val="00D52FB7"/>
    <w:rsid w:val="00D5427B"/>
    <w:rsid w:val="00D76902"/>
    <w:rsid w:val="00D80322"/>
    <w:rsid w:val="00DA6E08"/>
    <w:rsid w:val="00DB758C"/>
    <w:rsid w:val="00DD1D4A"/>
    <w:rsid w:val="00DD36BE"/>
    <w:rsid w:val="00DF057A"/>
    <w:rsid w:val="00DF0DA4"/>
    <w:rsid w:val="00E048F4"/>
    <w:rsid w:val="00E11BC2"/>
    <w:rsid w:val="00E24AF7"/>
    <w:rsid w:val="00E51675"/>
    <w:rsid w:val="00E706E0"/>
    <w:rsid w:val="00E9460D"/>
    <w:rsid w:val="00E94F73"/>
    <w:rsid w:val="00EA276D"/>
    <w:rsid w:val="00EC0635"/>
    <w:rsid w:val="00ED22E6"/>
    <w:rsid w:val="00ED39E6"/>
    <w:rsid w:val="00ED6464"/>
    <w:rsid w:val="00EE3B42"/>
    <w:rsid w:val="00F02605"/>
    <w:rsid w:val="00F13ED9"/>
    <w:rsid w:val="00F153D9"/>
    <w:rsid w:val="00F41AB9"/>
    <w:rsid w:val="00F44D24"/>
    <w:rsid w:val="00F4628C"/>
    <w:rsid w:val="00F50751"/>
    <w:rsid w:val="00F50F81"/>
    <w:rsid w:val="00F74414"/>
    <w:rsid w:val="00F81D09"/>
    <w:rsid w:val="00F931A0"/>
    <w:rsid w:val="00F93757"/>
    <w:rsid w:val="00F9736B"/>
    <w:rsid w:val="00FB2B15"/>
    <w:rsid w:val="00FD5C73"/>
    <w:rsid w:val="00FF0935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BED84C4-2CD1-49E9-91A2-85CDB1AD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FE7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D3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D39E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D39E6"/>
    <w:rPr>
      <w:sz w:val="20"/>
      <w:szCs w:val="20"/>
    </w:rPr>
  </w:style>
  <w:style w:type="character" w:styleId="FootnoteReference">
    <w:name w:val="footnote reference"/>
    <w:semiHidden/>
    <w:rsid w:val="00ED39E6"/>
    <w:rPr>
      <w:vertAlign w:val="superscript"/>
    </w:rPr>
  </w:style>
  <w:style w:type="character" w:customStyle="1" w:styleId="FooterChar">
    <w:name w:val="Footer Char"/>
    <w:link w:val="Footer"/>
    <w:uiPriority w:val="99"/>
    <w:rsid w:val="00201D9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פרשת דרכים הואי – It was at a crossroad</vt:lpstr>
    </vt:vector>
  </TitlesOfParts>
  <Company>Oholei Torah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פרשת דרכים הואי – It was at a crossroad</dc:title>
  <dc:subject/>
  <dc:creator>Ephraim piekarski</dc:creator>
  <cp:keywords/>
  <dc:description/>
  <cp:lastModifiedBy>Microsoft account</cp:lastModifiedBy>
  <cp:revision>2</cp:revision>
  <dcterms:created xsi:type="dcterms:W3CDTF">2022-04-05T10:49:00Z</dcterms:created>
  <dcterms:modified xsi:type="dcterms:W3CDTF">2022-04-05T10:49:00Z</dcterms:modified>
</cp:coreProperties>
</file>