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B4" w:rsidRDefault="002A4562" w:rsidP="00656FB4">
      <w:pPr>
        <w:widowControl w:val="0"/>
        <w:bidi/>
        <w:spacing w:line="276" w:lineRule="auto"/>
        <w:jc w:val="both"/>
        <w:rPr>
          <w:rFonts w:hint="cs"/>
          <w:b/>
          <w:bCs/>
          <w:sz w:val="30"/>
          <w:szCs w:val="30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4"/>
          <w:szCs w:val="34"/>
          <w:rtl/>
          <w:lang w:bidi="he-IL"/>
        </w:rPr>
        <w:t>[</w:t>
      </w:r>
      <w:r w:rsidR="00FE1139">
        <w:rPr>
          <w:rFonts w:hint="cs"/>
          <w:b/>
          <w:bCs/>
          <w:sz w:val="34"/>
          <w:szCs w:val="34"/>
          <w:rtl/>
          <w:lang w:bidi="he-IL"/>
        </w:rPr>
        <w:t>תנו</w:t>
      </w:r>
      <w:r w:rsidR="00656FB4">
        <w:rPr>
          <w:rStyle w:val="FootnoteReference"/>
          <w:b/>
          <w:bCs/>
          <w:sz w:val="34"/>
          <w:szCs w:val="34"/>
          <w:rtl/>
          <w:lang w:bidi="he-IL"/>
        </w:rPr>
        <w:footnoteReference w:id="1"/>
      </w:r>
      <w:r w:rsidR="00FE1139">
        <w:rPr>
          <w:rFonts w:hint="cs"/>
          <w:b/>
          <w:bCs/>
          <w:sz w:val="30"/>
          <w:szCs w:val="30"/>
          <w:rtl/>
          <w:lang w:bidi="he-IL"/>
        </w:rPr>
        <w:t xml:space="preserve"> רבנן מעבירין את המת מלפני הכלה</w:t>
      </w:r>
      <w:r w:rsidR="00656FB4">
        <w:rPr>
          <w:rFonts w:hint="cs"/>
          <w:b/>
          <w:bCs/>
          <w:sz w:val="30"/>
          <w:szCs w:val="30"/>
          <w:rtl/>
          <w:lang w:bidi="he-IL"/>
        </w:rPr>
        <w:t xml:space="preserve"> -   </w:t>
      </w:r>
      <w:r w:rsidR="009808C2">
        <w:rPr>
          <w:b/>
          <w:bCs/>
          <w:sz w:val="16"/>
          <w:szCs w:val="16"/>
          <w:lang w:bidi="he-IL"/>
        </w:rPr>
        <w:t xml:space="preserve"> </w:t>
      </w:r>
      <w:r w:rsidR="00656FB4">
        <w:rPr>
          <w:rFonts w:hint="cs"/>
          <w:b/>
          <w:bCs/>
          <w:sz w:val="30"/>
          <w:szCs w:val="30"/>
          <w:rtl/>
          <w:lang w:bidi="he-IL"/>
        </w:rPr>
        <w:t xml:space="preserve">  </w:t>
      </w:r>
      <w:r w:rsidR="00656FB4">
        <w:rPr>
          <w:b/>
          <w:bCs/>
          <w:sz w:val="30"/>
          <w:szCs w:val="30"/>
          <w:lang w:bidi="he-IL"/>
        </w:rPr>
        <w:t xml:space="preserve">;   </w:t>
      </w:r>
      <w:r w:rsidR="00656FB4">
        <w:rPr>
          <w:rFonts w:hint="cs"/>
          <w:b/>
          <w:bCs/>
          <w:sz w:val="30"/>
          <w:szCs w:val="30"/>
          <w:rtl/>
          <w:lang w:bidi="he-IL"/>
        </w:rPr>
        <w:t xml:space="preserve">ברייתא </w:t>
      </w:r>
      <w:r w:rsidR="00656FB4" w:rsidRPr="00656FB4">
        <w:rPr>
          <w:b/>
          <w:bCs/>
          <w:sz w:val="30"/>
          <w:szCs w:val="30"/>
          <w:lang w:bidi="he-IL"/>
        </w:rPr>
        <w:t>taught in a</w:t>
      </w:r>
      <w:r w:rsidR="00656FB4">
        <w:rPr>
          <w:rFonts w:hint="cs"/>
          <w:b/>
          <w:bCs/>
          <w:sz w:val="30"/>
          <w:szCs w:val="30"/>
          <w:rtl/>
          <w:lang w:bidi="he-IL"/>
        </w:rPr>
        <w:t xml:space="preserve"> </w:t>
      </w:r>
      <w:r w:rsidR="00656FB4" w:rsidRPr="00656FB4">
        <w:rPr>
          <w:b/>
          <w:bCs/>
          <w:sz w:val="30"/>
          <w:szCs w:val="30"/>
          <w:rtl/>
          <w:lang w:bidi="he-IL"/>
        </w:rPr>
        <w:t xml:space="preserve">רבנן </w:t>
      </w:r>
      <w:r w:rsidR="00656FB4" w:rsidRPr="00656FB4">
        <w:rPr>
          <w:b/>
          <w:bCs/>
          <w:sz w:val="30"/>
          <w:szCs w:val="30"/>
          <w:lang w:bidi="he-IL"/>
        </w:rPr>
        <w:t>The</w:t>
      </w:r>
      <w:r w:rsidR="00656FB4" w:rsidRPr="00656FB4">
        <w:rPr>
          <w:b/>
          <w:bCs/>
          <w:sz w:val="30"/>
          <w:szCs w:val="30"/>
          <w:rtl/>
          <w:lang w:bidi="he-IL"/>
        </w:rPr>
        <w:t xml:space="preserve"> </w:t>
      </w:r>
    </w:p>
    <w:p w:rsidR="00D80DE2" w:rsidRDefault="00FE1139" w:rsidP="00656FB4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sz w:val="30"/>
          <w:szCs w:val="30"/>
          <w:lang w:bidi="he-IL"/>
        </w:rPr>
        <w:t>The corpse is removed from the presence of the bride</w:t>
      </w:r>
    </w:p>
    <w:p w:rsidR="00FE1139" w:rsidRPr="003B1F78" w:rsidRDefault="00FE1139" w:rsidP="00656FB4">
      <w:pPr>
        <w:widowControl w:val="0"/>
        <w:spacing w:line="276" w:lineRule="auto"/>
        <w:jc w:val="both"/>
        <w:rPr>
          <w:b/>
          <w:bCs/>
          <w:sz w:val="20"/>
          <w:szCs w:val="20"/>
          <w:lang w:bidi="he-IL"/>
        </w:rPr>
      </w:pPr>
    </w:p>
    <w:p w:rsidR="00FE1139" w:rsidRPr="00656FB4" w:rsidRDefault="002A4562" w:rsidP="00656FB4">
      <w:pPr>
        <w:widowControl w:val="0"/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656FB4">
        <w:rPr>
          <w:rFonts w:ascii="Copperplate Gothic Bold" w:hAnsi="Copperplate Gothic Bold"/>
          <w:sz w:val="26"/>
          <w:szCs w:val="26"/>
          <w:u w:val="double"/>
          <w:lang w:bidi="he-IL"/>
        </w:rPr>
        <w:t>Overview</w:t>
      </w:r>
    </w:p>
    <w:p w:rsidR="002A4562" w:rsidRPr="002A4562" w:rsidRDefault="002A4562" w:rsidP="00656FB4">
      <w:pPr>
        <w:widowControl w:val="0"/>
        <w:spacing w:line="276" w:lineRule="auto"/>
        <w:jc w:val="both"/>
        <w:rPr>
          <w:sz w:val="26"/>
          <w:szCs w:val="26"/>
          <w:lang w:bidi="he-IL"/>
        </w:rPr>
      </w:pPr>
      <w:r>
        <w:rPr>
          <w:sz w:val="26"/>
          <w:szCs w:val="26"/>
          <w:lang w:bidi="he-IL"/>
        </w:rPr>
        <w:t xml:space="preserve">The </w:t>
      </w:r>
      <w:r>
        <w:rPr>
          <w:rFonts w:hint="cs"/>
          <w:sz w:val="26"/>
          <w:szCs w:val="26"/>
          <w:rtl/>
          <w:lang w:bidi="he-IL"/>
        </w:rPr>
        <w:t>ברייתא</w:t>
      </w:r>
      <w:r>
        <w:rPr>
          <w:sz w:val="26"/>
          <w:szCs w:val="26"/>
          <w:lang w:bidi="he-IL"/>
        </w:rPr>
        <w:t xml:space="preserve"> states that when a </w:t>
      </w:r>
      <w:r>
        <w:rPr>
          <w:rFonts w:hint="cs"/>
          <w:sz w:val="26"/>
          <w:szCs w:val="26"/>
          <w:rtl/>
          <w:lang w:bidi="he-IL"/>
        </w:rPr>
        <w:t>כלה</w:t>
      </w:r>
      <w:r>
        <w:rPr>
          <w:sz w:val="26"/>
          <w:szCs w:val="26"/>
          <w:lang w:bidi="he-IL"/>
        </w:rPr>
        <w:t xml:space="preserve"> and a </w:t>
      </w:r>
      <w:r>
        <w:rPr>
          <w:rFonts w:hint="cs"/>
          <w:sz w:val="26"/>
          <w:szCs w:val="26"/>
          <w:rtl/>
          <w:lang w:bidi="he-IL"/>
        </w:rPr>
        <w:t>מת</w:t>
      </w:r>
      <w:r>
        <w:rPr>
          <w:sz w:val="26"/>
          <w:szCs w:val="26"/>
          <w:lang w:bidi="he-IL"/>
        </w:rPr>
        <w:t xml:space="preserve"> cross paths, preference should be given to the </w:t>
      </w:r>
      <w:r>
        <w:rPr>
          <w:rFonts w:hint="cs"/>
          <w:sz w:val="26"/>
          <w:szCs w:val="26"/>
          <w:rtl/>
          <w:lang w:bidi="he-IL"/>
        </w:rPr>
        <w:t>כלה</w:t>
      </w:r>
      <w:r w:rsidR="001A3B47">
        <w:rPr>
          <w:sz w:val="26"/>
          <w:szCs w:val="26"/>
          <w:lang w:bidi="he-IL"/>
        </w:rPr>
        <w:t>,</w:t>
      </w:r>
      <w:r>
        <w:rPr>
          <w:sz w:val="26"/>
          <w:szCs w:val="26"/>
          <w:lang w:bidi="he-IL"/>
        </w:rPr>
        <w:t xml:space="preserve"> even if it requires that the funeral procession be detoured. </w:t>
      </w:r>
      <w:r>
        <w:rPr>
          <w:rFonts w:hint="cs"/>
          <w:sz w:val="26"/>
          <w:szCs w:val="26"/>
          <w:rtl/>
          <w:lang w:bidi="he-IL"/>
        </w:rPr>
        <w:t>תוספות</w:t>
      </w:r>
      <w:r>
        <w:rPr>
          <w:sz w:val="26"/>
          <w:szCs w:val="26"/>
          <w:lang w:bidi="he-IL"/>
        </w:rPr>
        <w:t xml:space="preserve"> will discuss that this rule applies to similar situations as well.</w:t>
      </w:r>
    </w:p>
    <w:p w:rsidR="00FE1139" w:rsidRPr="00656FB4" w:rsidRDefault="00656FB4" w:rsidP="00656FB4">
      <w:pPr>
        <w:widowControl w:val="0"/>
        <w:spacing w:line="276" w:lineRule="auto"/>
        <w:jc w:val="center"/>
        <w:rPr>
          <w:sz w:val="22"/>
          <w:szCs w:val="22"/>
          <w:lang w:bidi="he-IL"/>
        </w:rPr>
      </w:pPr>
      <w:r>
        <w:rPr>
          <w:sz w:val="22"/>
          <w:szCs w:val="22"/>
          <w:lang w:bidi="he-IL"/>
        </w:rPr>
        <w:t>-------------------</w:t>
      </w:r>
    </w:p>
    <w:p w:rsidR="00656FB4" w:rsidRPr="003B1F78" w:rsidRDefault="00FE1139" w:rsidP="003B1F78">
      <w:pPr>
        <w:widowControl w:val="0"/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3B1F78">
        <w:rPr>
          <w:rFonts w:cs="David" w:hint="cs"/>
          <w:b/>
          <w:bCs/>
          <w:sz w:val="26"/>
          <w:szCs w:val="26"/>
          <w:rtl/>
          <w:lang w:bidi="he-IL"/>
        </w:rPr>
        <w:t>מכאן משמע</w:t>
      </w:r>
      <w:r w:rsidR="00656FB4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כשיש אבל וחתן בבית הכנסת החתן יוצא תחלה ושושביניו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="003B1F78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</w:p>
    <w:p w:rsidR="008C7406" w:rsidRDefault="00FE1139" w:rsidP="00656FB4">
      <w:pPr>
        <w:widowControl w:val="0"/>
        <w:spacing w:line="276" w:lineRule="auto"/>
        <w:jc w:val="both"/>
        <w:rPr>
          <w:b/>
          <w:bCs/>
          <w:sz w:val="26"/>
          <w:szCs w:val="26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It seems from here that when there is a </w:t>
      </w:r>
      <w:r w:rsidR="008343D8">
        <w:rPr>
          <w:b/>
          <w:bCs/>
          <w:sz w:val="26"/>
          <w:szCs w:val="26"/>
          <w:lang w:bidi="he-IL"/>
        </w:rPr>
        <w:t xml:space="preserve">mourner </w:t>
      </w:r>
      <w:r>
        <w:rPr>
          <w:b/>
          <w:bCs/>
          <w:sz w:val="26"/>
          <w:szCs w:val="26"/>
          <w:lang w:bidi="he-IL"/>
        </w:rPr>
        <w:t xml:space="preserve">and a </w:t>
      </w:r>
      <w:r w:rsidR="008343D8">
        <w:rPr>
          <w:b/>
          <w:bCs/>
          <w:sz w:val="26"/>
          <w:szCs w:val="26"/>
          <w:lang w:bidi="he-IL"/>
        </w:rPr>
        <w:t xml:space="preserve">groom </w:t>
      </w:r>
      <w:r>
        <w:rPr>
          <w:b/>
          <w:bCs/>
          <w:sz w:val="26"/>
          <w:szCs w:val="26"/>
          <w:lang w:bidi="he-IL"/>
        </w:rPr>
        <w:t>in the synagogue</w:t>
      </w:r>
      <w:r w:rsidR="00656FB4">
        <w:rPr>
          <w:b/>
          <w:bCs/>
          <w:sz w:val="26"/>
          <w:szCs w:val="26"/>
          <w:lang w:bidi="he-IL"/>
        </w:rPr>
        <w:t>,</w:t>
      </w:r>
      <w:r w:rsidR="008C7406">
        <w:rPr>
          <w:b/>
          <w:bCs/>
          <w:sz w:val="26"/>
          <w:szCs w:val="26"/>
          <w:lang w:bidi="he-IL"/>
        </w:rPr>
        <w:t xml:space="preserve"> </w:t>
      </w:r>
      <w:r w:rsidR="00656FB4">
        <w:rPr>
          <w:b/>
          <w:bCs/>
          <w:sz w:val="26"/>
          <w:szCs w:val="26"/>
          <w:lang w:bidi="he-IL"/>
        </w:rPr>
        <w:t>t</w:t>
      </w:r>
      <w:r w:rsidR="008C7406">
        <w:rPr>
          <w:b/>
          <w:bCs/>
          <w:sz w:val="26"/>
          <w:szCs w:val="26"/>
          <w:lang w:bidi="he-IL"/>
        </w:rPr>
        <w:t xml:space="preserve">he </w:t>
      </w:r>
      <w:r w:rsidR="008C7406">
        <w:rPr>
          <w:rFonts w:hint="cs"/>
          <w:b/>
          <w:bCs/>
          <w:sz w:val="26"/>
          <w:szCs w:val="26"/>
          <w:rtl/>
          <w:lang w:bidi="he-IL"/>
        </w:rPr>
        <w:t>חתן</w:t>
      </w:r>
      <w:r w:rsidR="008C7406">
        <w:rPr>
          <w:b/>
          <w:bCs/>
          <w:sz w:val="26"/>
          <w:szCs w:val="26"/>
          <w:lang w:bidi="he-IL"/>
        </w:rPr>
        <w:t xml:space="preserve"> leaves first </w:t>
      </w:r>
      <w:r w:rsidR="008C7406">
        <w:rPr>
          <w:sz w:val="26"/>
          <w:szCs w:val="26"/>
          <w:lang w:bidi="he-IL"/>
        </w:rPr>
        <w:t xml:space="preserve">together </w:t>
      </w:r>
      <w:r w:rsidR="008C7406" w:rsidRPr="008C7406">
        <w:rPr>
          <w:b/>
          <w:bCs/>
          <w:sz w:val="26"/>
          <w:szCs w:val="26"/>
          <w:lang w:bidi="he-IL"/>
        </w:rPr>
        <w:t>with</w:t>
      </w:r>
      <w:r w:rsidR="008C7406">
        <w:rPr>
          <w:b/>
          <w:bCs/>
          <w:sz w:val="26"/>
          <w:szCs w:val="26"/>
          <w:lang w:bidi="he-IL"/>
        </w:rPr>
        <w:t xml:space="preserve"> his </w:t>
      </w:r>
      <w:r w:rsidR="001A3B47">
        <w:rPr>
          <w:b/>
          <w:bCs/>
          <w:sz w:val="26"/>
          <w:szCs w:val="26"/>
          <w:lang w:bidi="he-IL"/>
        </w:rPr>
        <w:t>entourage</w:t>
      </w:r>
      <w:r w:rsidR="008C7406">
        <w:rPr>
          <w:b/>
          <w:bCs/>
          <w:sz w:val="26"/>
          <w:szCs w:val="26"/>
          <w:lang w:bidi="he-IL"/>
        </w:rPr>
        <w:t xml:space="preserve"> –</w:t>
      </w:r>
    </w:p>
    <w:p w:rsidR="00656FB4" w:rsidRPr="003B1F78" w:rsidRDefault="008C7406" w:rsidP="003B1F78">
      <w:pPr>
        <w:widowControl w:val="0"/>
        <w:bidi/>
        <w:spacing w:line="276" w:lineRule="auto"/>
        <w:jc w:val="both"/>
        <w:rPr>
          <w:rFonts w:cs="David"/>
          <w:b/>
          <w:bCs/>
          <w:sz w:val="26"/>
          <w:szCs w:val="26"/>
          <w:lang w:bidi="he-IL"/>
        </w:rPr>
      </w:pPr>
      <w:r w:rsidRPr="003B1F78">
        <w:rPr>
          <w:rFonts w:cs="David" w:hint="cs"/>
          <w:b/>
          <w:bCs/>
          <w:sz w:val="26"/>
          <w:szCs w:val="26"/>
          <w:rtl/>
          <w:lang w:bidi="he-IL"/>
        </w:rPr>
        <w:t>ושוב יוצא האבל ומנחמיו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="003B1F78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</w:p>
    <w:p w:rsidR="008C7406" w:rsidRDefault="008C7406" w:rsidP="00656FB4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 xml:space="preserve">And then the mourner leaves </w:t>
      </w:r>
      <w:r>
        <w:rPr>
          <w:sz w:val="26"/>
          <w:szCs w:val="26"/>
          <w:lang w:bidi="he-IL"/>
        </w:rPr>
        <w:t xml:space="preserve">together </w:t>
      </w:r>
      <w:r>
        <w:rPr>
          <w:b/>
          <w:bCs/>
          <w:sz w:val="26"/>
          <w:szCs w:val="26"/>
          <w:lang w:bidi="he-IL"/>
        </w:rPr>
        <w:t>with his consolers –</w:t>
      </w:r>
    </w:p>
    <w:p w:rsidR="002A4B22" w:rsidRPr="003B1F78" w:rsidRDefault="002A4B22" w:rsidP="00656FB4">
      <w:pPr>
        <w:widowControl w:val="0"/>
        <w:spacing w:line="276" w:lineRule="auto"/>
        <w:jc w:val="both"/>
        <w:rPr>
          <w:b/>
          <w:bCs/>
          <w:sz w:val="20"/>
          <w:szCs w:val="20"/>
          <w:lang w:bidi="he-IL"/>
        </w:rPr>
      </w:pPr>
    </w:p>
    <w:p w:rsidR="002A4B22" w:rsidRPr="002A4B22" w:rsidRDefault="002A4B22" w:rsidP="00656FB4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>תוספות</w:t>
      </w:r>
      <w:r>
        <w:rPr>
          <w:sz w:val="22"/>
          <w:szCs w:val="22"/>
          <w:lang w:bidi="he-IL"/>
        </w:rPr>
        <w:t xml:space="preserve"> cites a similar ruling:</w:t>
      </w:r>
    </w:p>
    <w:p w:rsidR="00656FB4" w:rsidRPr="003B1F78" w:rsidRDefault="002A4562" w:rsidP="003B1F78">
      <w:pPr>
        <w:widowControl w:val="0"/>
        <w:bidi/>
        <w:spacing w:line="276" w:lineRule="auto"/>
        <w:jc w:val="both"/>
        <w:rPr>
          <w:b/>
          <w:bCs/>
          <w:sz w:val="26"/>
          <w:szCs w:val="26"/>
          <w:lang w:bidi="he-IL"/>
        </w:rPr>
      </w:pPr>
      <w:r w:rsidRPr="003B1F78">
        <w:rPr>
          <w:rFonts w:cs="David" w:hint="cs"/>
          <w:b/>
          <w:bCs/>
          <w:sz w:val="26"/>
          <w:szCs w:val="26"/>
          <w:rtl/>
          <w:lang w:bidi="he-IL"/>
        </w:rPr>
        <w:t>וגם הקרובים לחתן ולאבל</w:t>
      </w:r>
      <w:r w:rsidR="00656FB4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יאכלו בבית החתן</w:t>
      </w:r>
      <w:r w:rsidR="003B1F78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2"/>
      </w:r>
      <w:r w:rsidR="00656FB4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אם ירצו דהא כבודו קודם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="003B1F78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3B1F78">
        <w:rPr>
          <w:b/>
          <w:bCs/>
          <w:sz w:val="26"/>
          <w:szCs w:val="26"/>
          <w:lang w:bidi="he-IL"/>
        </w:rPr>
        <w:t xml:space="preserve"> </w:t>
      </w:r>
    </w:p>
    <w:p w:rsidR="002A4562" w:rsidRDefault="00656FB4" w:rsidP="00656FB4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>And</w:t>
      </w:r>
      <w:r w:rsidR="002A4562">
        <w:rPr>
          <w:b/>
          <w:bCs/>
          <w:sz w:val="26"/>
          <w:szCs w:val="26"/>
          <w:lang w:bidi="he-IL"/>
        </w:rPr>
        <w:t xml:space="preserve"> also the relatives to the 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חתן</w:t>
      </w:r>
      <w:r w:rsidR="002A4562">
        <w:rPr>
          <w:b/>
          <w:bCs/>
          <w:sz w:val="26"/>
          <w:szCs w:val="26"/>
          <w:lang w:bidi="he-IL"/>
        </w:rPr>
        <w:t xml:space="preserve"> and the 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אבל</w:t>
      </w:r>
      <w:r w:rsidR="002A4562">
        <w:rPr>
          <w:b/>
          <w:bCs/>
          <w:sz w:val="26"/>
          <w:szCs w:val="26"/>
          <w:lang w:bidi="he-IL"/>
        </w:rPr>
        <w:t xml:space="preserve"> may eat in the s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חתן'</w:t>
      </w:r>
      <w:r w:rsidR="002A4562">
        <w:rPr>
          <w:b/>
          <w:bCs/>
          <w:sz w:val="26"/>
          <w:szCs w:val="26"/>
          <w:lang w:bidi="he-IL"/>
        </w:rPr>
        <w:t xml:space="preserve"> house if they so desire for </w:t>
      </w:r>
      <w:r w:rsidR="002A4562">
        <w:rPr>
          <w:sz w:val="26"/>
          <w:szCs w:val="26"/>
          <w:lang w:bidi="he-IL"/>
        </w:rPr>
        <w:t>the s</w:t>
      </w:r>
      <w:r w:rsidR="002A4562">
        <w:rPr>
          <w:rFonts w:hint="cs"/>
          <w:sz w:val="26"/>
          <w:szCs w:val="26"/>
          <w:rtl/>
          <w:lang w:bidi="he-IL"/>
        </w:rPr>
        <w:t>חתן'</w:t>
      </w:r>
      <w:r w:rsidR="002A4562">
        <w:rPr>
          <w:sz w:val="26"/>
          <w:szCs w:val="26"/>
          <w:lang w:bidi="he-IL"/>
        </w:rPr>
        <w:t xml:space="preserve"> </w:t>
      </w:r>
      <w:r w:rsidR="002A4562">
        <w:rPr>
          <w:b/>
          <w:bCs/>
          <w:sz w:val="26"/>
          <w:szCs w:val="26"/>
          <w:lang w:bidi="he-IL"/>
        </w:rPr>
        <w:t>honor takes precedence</w:t>
      </w:r>
      <w:r w:rsidR="002A4B22">
        <w:rPr>
          <w:b/>
          <w:bCs/>
          <w:sz w:val="26"/>
          <w:szCs w:val="26"/>
          <w:lang w:bidi="he-IL"/>
        </w:rPr>
        <w:t>.</w:t>
      </w:r>
    </w:p>
    <w:p w:rsidR="002A4B22" w:rsidRPr="003B1F78" w:rsidRDefault="002A4B22" w:rsidP="00656FB4">
      <w:pPr>
        <w:widowControl w:val="0"/>
        <w:spacing w:line="276" w:lineRule="auto"/>
        <w:jc w:val="both"/>
        <w:rPr>
          <w:b/>
          <w:bCs/>
          <w:sz w:val="20"/>
          <w:szCs w:val="20"/>
          <w:lang w:bidi="he-IL"/>
        </w:rPr>
      </w:pPr>
    </w:p>
    <w:p w:rsidR="002A4B22" w:rsidRPr="00656FB4" w:rsidRDefault="002A4B22" w:rsidP="00656FB4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 w:rsidRPr="00656FB4">
        <w:rPr>
          <w:sz w:val="22"/>
          <w:szCs w:val="22"/>
          <w:lang w:bidi="he-IL"/>
        </w:rPr>
        <w:t>A final ruling:</w:t>
      </w:r>
    </w:p>
    <w:p w:rsidR="00656FB4" w:rsidRPr="003B1F78" w:rsidRDefault="002A4562" w:rsidP="003B1F78">
      <w:pPr>
        <w:widowControl w:val="0"/>
        <w:bidi/>
        <w:spacing w:line="276" w:lineRule="auto"/>
        <w:jc w:val="both"/>
        <w:rPr>
          <w:rFonts w:cs="David" w:hint="cs"/>
          <w:b/>
          <w:bCs/>
          <w:sz w:val="26"/>
          <w:szCs w:val="26"/>
          <w:rtl/>
          <w:lang w:bidi="he-IL"/>
        </w:rPr>
      </w:pPr>
      <w:r w:rsidRPr="003B1F78">
        <w:rPr>
          <w:rFonts w:cs="David" w:hint="cs"/>
          <w:b/>
          <w:bCs/>
          <w:sz w:val="26"/>
          <w:szCs w:val="26"/>
          <w:rtl/>
          <w:lang w:bidi="he-IL"/>
        </w:rPr>
        <w:t>וכן בבוקר כשמוליכים הכלה לבית החתן</w:t>
      </w:r>
      <w:r w:rsidR="00656FB4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מוליכין הכלה תחלה</w:t>
      </w:r>
      <w:r w:rsidR="003B1F78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אם יש מת בעיר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="003B1F78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</w:p>
    <w:p w:rsidR="002A4562" w:rsidRDefault="003B1F78" w:rsidP="003B1F78">
      <w:pPr>
        <w:widowControl w:val="0"/>
        <w:spacing w:line="276" w:lineRule="auto"/>
        <w:jc w:val="both"/>
        <w:rPr>
          <w:b/>
          <w:bCs/>
          <w:sz w:val="26"/>
          <w:szCs w:val="26"/>
          <w:lang w:bidi="he-IL"/>
        </w:rPr>
      </w:pPr>
      <w:r>
        <w:rPr>
          <w:b/>
          <w:bCs/>
          <w:sz w:val="26"/>
          <w:szCs w:val="26"/>
          <w:lang w:bidi="he-IL"/>
        </w:rPr>
        <w:t>And</w:t>
      </w:r>
      <w:r w:rsidR="002A4562">
        <w:rPr>
          <w:b/>
          <w:bCs/>
          <w:sz w:val="26"/>
          <w:szCs w:val="26"/>
          <w:lang w:bidi="he-IL"/>
        </w:rPr>
        <w:t xml:space="preserve"> similarly in the morning when the 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כלה</w:t>
      </w:r>
      <w:r w:rsidR="002A4562">
        <w:rPr>
          <w:b/>
          <w:bCs/>
          <w:sz w:val="26"/>
          <w:szCs w:val="26"/>
          <w:lang w:bidi="he-IL"/>
        </w:rPr>
        <w:t xml:space="preserve"> is taken to the s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חתן'</w:t>
      </w:r>
      <w:r w:rsidR="002A4562">
        <w:rPr>
          <w:b/>
          <w:bCs/>
          <w:sz w:val="26"/>
          <w:szCs w:val="26"/>
          <w:lang w:bidi="he-IL"/>
        </w:rPr>
        <w:t xml:space="preserve"> house</w:t>
      </w:r>
      <w:r>
        <w:rPr>
          <w:b/>
          <w:bCs/>
          <w:sz w:val="26"/>
          <w:szCs w:val="26"/>
          <w:lang w:bidi="he-IL"/>
        </w:rPr>
        <w:t>,</w:t>
      </w:r>
      <w:r w:rsidR="002A4562">
        <w:rPr>
          <w:b/>
          <w:bCs/>
          <w:sz w:val="26"/>
          <w:szCs w:val="26"/>
          <w:lang w:bidi="he-IL"/>
        </w:rPr>
        <w:t xml:space="preserve"> the 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כלה</w:t>
      </w:r>
      <w:r w:rsidR="002A4562">
        <w:rPr>
          <w:b/>
          <w:bCs/>
          <w:sz w:val="26"/>
          <w:szCs w:val="26"/>
          <w:lang w:bidi="he-IL"/>
        </w:rPr>
        <w:t xml:space="preserve"> is taken first if there is a funeral in the city –</w:t>
      </w:r>
    </w:p>
    <w:p w:rsidR="003B1F78" w:rsidRPr="003B1F78" w:rsidRDefault="002A4562" w:rsidP="003B1F78">
      <w:pPr>
        <w:widowControl w:val="0"/>
        <w:bidi/>
        <w:spacing w:line="276" w:lineRule="auto"/>
        <w:jc w:val="both"/>
        <w:rPr>
          <w:b/>
          <w:bCs/>
          <w:sz w:val="26"/>
          <w:szCs w:val="26"/>
          <w:lang w:bidi="he-IL"/>
        </w:rPr>
      </w:pPr>
      <w:r w:rsidRPr="003B1F78">
        <w:rPr>
          <w:rFonts w:cs="David" w:hint="cs"/>
          <w:b/>
          <w:bCs/>
          <w:sz w:val="26"/>
          <w:szCs w:val="26"/>
          <w:rtl/>
          <w:lang w:bidi="he-IL"/>
        </w:rPr>
        <w:t>או יקברוהו</w:t>
      </w:r>
      <w:r w:rsidR="003B1F78" w:rsidRPr="003B1F78">
        <w:rPr>
          <w:rFonts w:cs="David" w:hint="cs"/>
          <w:b/>
          <w:bCs/>
          <w:sz w:val="26"/>
          <w:szCs w:val="26"/>
          <w:rtl/>
          <w:lang w:bidi="he-IL"/>
        </w:rPr>
        <w:t xml:space="preserve"> קודם שיגיע הזמן דהכנסת כלה. להראבי"ה</w:t>
      </w:r>
      <w:r w:rsidR="003B1F78" w:rsidRPr="003B1F78">
        <w:rPr>
          <w:rStyle w:val="FootnoteReference"/>
          <w:rFonts w:cs="David"/>
          <w:b/>
          <w:bCs/>
          <w:sz w:val="26"/>
          <w:szCs w:val="26"/>
          <w:rtl/>
          <w:lang w:bidi="he-IL"/>
        </w:rPr>
        <w:footnoteReference w:id="3"/>
      </w:r>
      <w:r w:rsidR="003B1F78" w:rsidRPr="003B1F78">
        <w:rPr>
          <w:rFonts w:cs="David" w:hint="cs"/>
          <w:b/>
          <w:bCs/>
          <w:sz w:val="26"/>
          <w:szCs w:val="26"/>
          <w:rtl/>
          <w:lang w:bidi="he-IL"/>
        </w:rPr>
        <w:t>]</w:t>
      </w:r>
      <w:r w:rsidR="003B1F78"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Pr="003B1F78">
        <w:rPr>
          <w:rFonts w:cs="David"/>
          <w:b/>
          <w:bCs/>
          <w:sz w:val="26"/>
          <w:szCs w:val="26"/>
          <w:lang w:bidi="he-IL"/>
        </w:rPr>
        <w:t xml:space="preserve"> </w:t>
      </w:r>
      <w:r w:rsidR="003B1F78">
        <w:rPr>
          <w:rFonts w:cs="David" w:hint="cs"/>
          <w:b/>
          <w:bCs/>
          <w:sz w:val="26"/>
          <w:szCs w:val="26"/>
          <w:rtl/>
          <w:lang w:bidi="he-IL"/>
        </w:rPr>
        <w:t>-</w:t>
      </w:r>
      <w:r w:rsidRPr="003B1F78">
        <w:rPr>
          <w:b/>
          <w:bCs/>
          <w:sz w:val="26"/>
          <w:szCs w:val="26"/>
          <w:lang w:bidi="he-IL"/>
        </w:rPr>
        <w:t xml:space="preserve"> </w:t>
      </w:r>
    </w:p>
    <w:p w:rsidR="002A4562" w:rsidRDefault="003B1F78" w:rsidP="003B1F78">
      <w:pPr>
        <w:widowControl w:val="0"/>
        <w:spacing w:line="276" w:lineRule="auto"/>
        <w:jc w:val="both"/>
        <w:rPr>
          <w:b/>
          <w:bCs/>
          <w:sz w:val="22"/>
          <w:szCs w:val="22"/>
          <w:lang w:bidi="he-IL"/>
        </w:rPr>
      </w:pPr>
      <w:r>
        <w:rPr>
          <w:b/>
          <w:bCs/>
          <w:sz w:val="26"/>
          <w:szCs w:val="26"/>
          <w:lang w:bidi="he-IL"/>
        </w:rPr>
        <w:t>Or</w:t>
      </w:r>
      <w:r w:rsidR="002A4562">
        <w:rPr>
          <w:b/>
          <w:bCs/>
          <w:sz w:val="26"/>
          <w:szCs w:val="26"/>
          <w:lang w:bidi="he-IL"/>
        </w:rPr>
        <w:t xml:space="preserve"> they should bury </w:t>
      </w:r>
      <w:r w:rsidR="002A4562">
        <w:rPr>
          <w:sz w:val="26"/>
          <w:szCs w:val="26"/>
          <w:lang w:bidi="he-IL"/>
        </w:rPr>
        <w:t xml:space="preserve">the dead </w:t>
      </w:r>
      <w:r w:rsidR="002A4B22">
        <w:rPr>
          <w:b/>
          <w:bCs/>
          <w:sz w:val="26"/>
          <w:szCs w:val="26"/>
          <w:lang w:bidi="he-IL"/>
        </w:rPr>
        <w:t>be</w:t>
      </w:r>
      <w:r w:rsidR="002A4562">
        <w:rPr>
          <w:b/>
          <w:bCs/>
          <w:sz w:val="26"/>
          <w:szCs w:val="26"/>
          <w:lang w:bidi="he-IL"/>
        </w:rPr>
        <w:t>for</w:t>
      </w:r>
      <w:r w:rsidR="002A4B22">
        <w:rPr>
          <w:b/>
          <w:bCs/>
          <w:sz w:val="26"/>
          <w:szCs w:val="26"/>
          <w:lang w:bidi="he-IL"/>
        </w:rPr>
        <w:t>e the</w:t>
      </w:r>
      <w:r w:rsidR="002A4562">
        <w:rPr>
          <w:b/>
          <w:bCs/>
          <w:sz w:val="26"/>
          <w:szCs w:val="26"/>
          <w:lang w:bidi="he-IL"/>
        </w:rPr>
        <w:t xml:space="preserve"> time arrives to perform the wedding.</w:t>
      </w:r>
      <w:r>
        <w:rPr>
          <w:b/>
          <w:bCs/>
          <w:sz w:val="26"/>
          <w:szCs w:val="26"/>
          <w:lang w:bidi="he-IL"/>
        </w:rPr>
        <w:t xml:space="preserve"> </w:t>
      </w:r>
      <w:r w:rsidR="002A4562">
        <w:rPr>
          <w:sz w:val="26"/>
          <w:szCs w:val="26"/>
          <w:lang w:bidi="he-IL"/>
        </w:rPr>
        <w:t xml:space="preserve">The abovementioned is ascribed </w:t>
      </w:r>
      <w:r w:rsidR="002A4562" w:rsidRPr="002A4562">
        <w:rPr>
          <w:b/>
          <w:bCs/>
          <w:sz w:val="26"/>
          <w:szCs w:val="26"/>
          <w:lang w:bidi="he-IL"/>
        </w:rPr>
        <w:t>to</w:t>
      </w:r>
      <w:r w:rsidR="002A4562">
        <w:rPr>
          <w:sz w:val="26"/>
          <w:szCs w:val="26"/>
          <w:lang w:bidi="he-IL"/>
        </w:rPr>
        <w:t xml:space="preserve"> </w:t>
      </w:r>
      <w:r w:rsidR="002A4562">
        <w:rPr>
          <w:b/>
          <w:bCs/>
          <w:sz w:val="26"/>
          <w:szCs w:val="26"/>
          <w:lang w:bidi="he-IL"/>
        </w:rPr>
        <w:t xml:space="preserve">the </w:t>
      </w:r>
      <w:r w:rsidR="002A4562">
        <w:rPr>
          <w:rFonts w:hint="cs"/>
          <w:b/>
          <w:bCs/>
          <w:sz w:val="26"/>
          <w:szCs w:val="26"/>
          <w:rtl/>
          <w:lang w:bidi="he-IL"/>
        </w:rPr>
        <w:t>ראבי"ה</w:t>
      </w:r>
      <w:r w:rsidR="002A4562">
        <w:rPr>
          <w:b/>
          <w:bCs/>
          <w:sz w:val="26"/>
          <w:szCs w:val="26"/>
          <w:lang w:bidi="he-IL"/>
        </w:rPr>
        <w:t>.</w:t>
      </w:r>
    </w:p>
    <w:p w:rsidR="002A4B22" w:rsidRPr="003B1F78" w:rsidRDefault="002A4B22" w:rsidP="00656FB4">
      <w:pPr>
        <w:widowControl w:val="0"/>
        <w:spacing w:line="276" w:lineRule="auto"/>
        <w:jc w:val="both"/>
        <w:rPr>
          <w:b/>
          <w:bCs/>
          <w:sz w:val="20"/>
          <w:szCs w:val="20"/>
          <w:lang w:bidi="he-IL"/>
        </w:rPr>
      </w:pPr>
    </w:p>
    <w:p w:rsidR="002A4B22" w:rsidRPr="003B1F78" w:rsidRDefault="002A4B22" w:rsidP="00656FB4">
      <w:pPr>
        <w:widowControl w:val="0"/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3B1F78">
        <w:rPr>
          <w:rFonts w:ascii="Copperplate Gothic Bold" w:hAnsi="Copperplate Gothic Bold"/>
          <w:sz w:val="26"/>
          <w:szCs w:val="26"/>
          <w:u w:val="double"/>
          <w:lang w:bidi="he-IL"/>
        </w:rPr>
        <w:t>Summary</w:t>
      </w:r>
    </w:p>
    <w:p w:rsidR="002A4B22" w:rsidRDefault="002A4B22" w:rsidP="00656FB4">
      <w:pPr>
        <w:widowControl w:val="0"/>
        <w:spacing w:line="276" w:lineRule="auto"/>
        <w:jc w:val="both"/>
        <w:rPr>
          <w:sz w:val="22"/>
          <w:szCs w:val="22"/>
          <w:lang w:bidi="he-IL"/>
        </w:rPr>
      </w:pPr>
      <w:r>
        <w:rPr>
          <w:sz w:val="26"/>
          <w:szCs w:val="26"/>
          <w:lang w:bidi="he-IL"/>
        </w:rPr>
        <w:t xml:space="preserve">A </w:t>
      </w:r>
      <w:r>
        <w:rPr>
          <w:rFonts w:hint="cs"/>
          <w:sz w:val="26"/>
          <w:szCs w:val="26"/>
          <w:rtl/>
          <w:lang w:bidi="he-IL"/>
        </w:rPr>
        <w:t>חתן וכלה</w:t>
      </w:r>
      <w:r>
        <w:rPr>
          <w:sz w:val="26"/>
          <w:szCs w:val="26"/>
          <w:lang w:bidi="he-IL"/>
        </w:rPr>
        <w:t xml:space="preserve"> take precedence over a </w:t>
      </w:r>
      <w:r>
        <w:rPr>
          <w:rFonts w:hint="cs"/>
          <w:sz w:val="26"/>
          <w:szCs w:val="26"/>
          <w:rtl/>
          <w:lang w:bidi="he-IL"/>
        </w:rPr>
        <w:t>מת</w:t>
      </w:r>
      <w:r>
        <w:rPr>
          <w:sz w:val="26"/>
          <w:szCs w:val="26"/>
          <w:lang w:bidi="he-IL"/>
        </w:rPr>
        <w:t xml:space="preserve"> regarding leaving the shul; dining, and performing the respective service</w:t>
      </w:r>
      <w:r w:rsidR="00CC7CEA">
        <w:rPr>
          <w:sz w:val="26"/>
          <w:szCs w:val="26"/>
          <w:lang w:bidi="he-IL"/>
        </w:rPr>
        <w:t>s</w:t>
      </w:r>
      <w:r>
        <w:rPr>
          <w:sz w:val="26"/>
          <w:szCs w:val="26"/>
          <w:lang w:bidi="he-IL"/>
        </w:rPr>
        <w:t xml:space="preserve"> (unless the funeral can be over before the wedding begins).</w:t>
      </w:r>
    </w:p>
    <w:p w:rsidR="002A4B22" w:rsidRPr="003B1F78" w:rsidRDefault="002A4B22" w:rsidP="00656FB4">
      <w:pPr>
        <w:widowControl w:val="0"/>
        <w:spacing w:line="276" w:lineRule="auto"/>
        <w:jc w:val="both"/>
        <w:rPr>
          <w:sz w:val="20"/>
          <w:szCs w:val="20"/>
          <w:lang w:bidi="he-IL"/>
        </w:rPr>
      </w:pPr>
    </w:p>
    <w:p w:rsidR="002A4B22" w:rsidRPr="003B1F78" w:rsidRDefault="002A4B22" w:rsidP="00656FB4">
      <w:pPr>
        <w:widowControl w:val="0"/>
        <w:spacing w:line="276" w:lineRule="auto"/>
        <w:jc w:val="both"/>
        <w:rPr>
          <w:rFonts w:ascii="Copperplate Gothic Bold" w:hAnsi="Copperplate Gothic Bold"/>
          <w:sz w:val="26"/>
          <w:szCs w:val="26"/>
          <w:u w:val="double"/>
          <w:lang w:bidi="he-IL"/>
        </w:rPr>
      </w:pPr>
      <w:r w:rsidRPr="003B1F78">
        <w:rPr>
          <w:rFonts w:ascii="Copperplate Gothic Bold" w:hAnsi="Copperplate Gothic Bold"/>
          <w:sz w:val="26"/>
          <w:szCs w:val="26"/>
          <w:u w:val="double"/>
          <w:lang w:bidi="he-IL"/>
        </w:rPr>
        <w:t>Thinking it over</w:t>
      </w:r>
    </w:p>
    <w:p w:rsidR="002A4B22" w:rsidRPr="003B1F78" w:rsidRDefault="00495D6A" w:rsidP="00656FB4">
      <w:pPr>
        <w:widowControl w:val="0"/>
        <w:spacing w:line="276" w:lineRule="auto"/>
        <w:jc w:val="both"/>
        <w:rPr>
          <w:spacing w:val="-2"/>
          <w:sz w:val="26"/>
          <w:szCs w:val="26"/>
          <w:lang w:bidi="he-IL"/>
        </w:rPr>
      </w:pPr>
      <w:r w:rsidRPr="003B1F78">
        <w:rPr>
          <w:spacing w:val="-2"/>
          <w:sz w:val="26"/>
          <w:szCs w:val="26"/>
          <w:lang w:bidi="he-IL"/>
        </w:rPr>
        <w:t xml:space="preserve">The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ברייתא</w:t>
      </w:r>
      <w:r w:rsidRPr="003B1F78">
        <w:rPr>
          <w:spacing w:val="-2"/>
          <w:sz w:val="26"/>
          <w:szCs w:val="26"/>
          <w:lang w:bidi="he-IL"/>
        </w:rPr>
        <w:t xml:space="preserve"> states that the honor of the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כלה</w:t>
      </w:r>
      <w:r w:rsidRPr="003B1F78">
        <w:rPr>
          <w:spacing w:val="-2"/>
          <w:sz w:val="26"/>
          <w:szCs w:val="26"/>
          <w:lang w:bidi="he-IL"/>
        </w:rPr>
        <w:t xml:space="preserve"> takes precedence over the honor of the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מת</w:t>
      </w:r>
      <w:r w:rsidRPr="003B1F78">
        <w:rPr>
          <w:spacing w:val="-2"/>
          <w:sz w:val="26"/>
          <w:szCs w:val="26"/>
          <w:lang w:bidi="he-IL"/>
        </w:rPr>
        <w:t xml:space="preserve">. How can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תוספות</w:t>
      </w:r>
      <w:r w:rsidRPr="003B1F78">
        <w:rPr>
          <w:spacing w:val="-2"/>
          <w:sz w:val="26"/>
          <w:szCs w:val="26"/>
          <w:lang w:bidi="he-IL"/>
        </w:rPr>
        <w:t xml:space="preserve"> derive from this that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שמחת חתן</w:t>
      </w:r>
      <w:r w:rsidRPr="003B1F78">
        <w:rPr>
          <w:spacing w:val="-2"/>
          <w:sz w:val="26"/>
          <w:szCs w:val="26"/>
          <w:lang w:bidi="he-IL"/>
        </w:rPr>
        <w:t xml:space="preserve"> takes precedence over </w:t>
      </w:r>
      <w:r w:rsidRPr="003B1F78">
        <w:rPr>
          <w:rFonts w:hint="cs"/>
          <w:spacing w:val="-2"/>
          <w:sz w:val="26"/>
          <w:szCs w:val="26"/>
          <w:rtl/>
          <w:lang w:bidi="he-IL"/>
        </w:rPr>
        <w:t>ניחום אבלים</w:t>
      </w:r>
      <w:r w:rsidRPr="003B1F78">
        <w:rPr>
          <w:spacing w:val="-2"/>
          <w:sz w:val="26"/>
          <w:szCs w:val="26"/>
          <w:lang w:bidi="he-IL"/>
        </w:rPr>
        <w:t>?</w:t>
      </w:r>
      <w:r w:rsidRPr="003B1F78">
        <w:rPr>
          <w:rStyle w:val="FootnoteReference"/>
          <w:spacing w:val="-2"/>
          <w:sz w:val="26"/>
          <w:szCs w:val="26"/>
          <w:lang w:bidi="he-IL"/>
        </w:rPr>
        <w:footnoteReference w:id="4"/>
      </w:r>
    </w:p>
    <w:sectPr w:rsidR="002A4B22" w:rsidRPr="003B1F7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B39" w:rsidRDefault="00915B39">
      <w:r>
        <w:separator/>
      </w:r>
    </w:p>
  </w:endnote>
  <w:endnote w:type="continuationSeparator" w:id="0">
    <w:p w:rsidR="00915B39" w:rsidRDefault="0091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AD" w:rsidRDefault="004912AD" w:rsidP="00FE1139">
    <w:pPr>
      <w:pStyle w:val="Footer"/>
      <w:jc w:val="center"/>
      <w:rPr>
        <w:rFonts w:hint="cs"/>
        <w:rtl/>
        <w:lang w:bidi="he-IL"/>
      </w:rPr>
    </w:pPr>
  </w:p>
  <w:p w:rsidR="004912AD" w:rsidRPr="00FE1139" w:rsidRDefault="004912AD" w:rsidP="00FE1139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B39" w:rsidRDefault="00915B39">
      <w:r>
        <w:separator/>
      </w:r>
    </w:p>
  </w:footnote>
  <w:footnote w:type="continuationSeparator" w:id="0">
    <w:p w:rsidR="00915B39" w:rsidRDefault="00915B39">
      <w:r>
        <w:continuationSeparator/>
      </w:r>
    </w:p>
  </w:footnote>
  <w:footnote w:id="1">
    <w:p w:rsidR="00656FB4" w:rsidRDefault="00656FB4" w:rsidP="003B1F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</w:t>
      </w:r>
      <w:r>
        <w:rPr>
          <w:rFonts w:hint="cs"/>
          <w:rtl/>
          <w:lang w:bidi="he-IL"/>
        </w:rPr>
        <w:t>'תוספות'</w:t>
      </w:r>
      <w:r>
        <w:rPr>
          <w:lang w:bidi="he-IL"/>
        </w:rPr>
        <w:t xml:space="preserve"> is bracketed and set in a different type. It is presumably an addendum from a later period.</w:t>
      </w:r>
    </w:p>
  </w:footnote>
  <w:footnote w:id="2">
    <w:p w:rsidR="003B1F78" w:rsidRPr="003B1F78" w:rsidRDefault="003B1F78" w:rsidP="003B1F78">
      <w:pPr>
        <w:pStyle w:val="FootnoteText"/>
        <w:spacing w:line="264" w:lineRule="auto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If they were invited to eat in both places, preference should be given to the </w:t>
      </w:r>
      <w:r>
        <w:rPr>
          <w:rFonts w:hint="cs"/>
          <w:rtl/>
          <w:lang w:bidi="he-IL"/>
        </w:rPr>
        <w:t>חתן</w:t>
      </w:r>
      <w:r>
        <w:rPr>
          <w:lang w:bidi="he-IL"/>
        </w:rPr>
        <w:t xml:space="preserve"> (even though it interferes with the </w:t>
      </w:r>
      <w:r>
        <w:rPr>
          <w:rFonts w:hint="cs"/>
          <w:rtl/>
          <w:lang w:bidi="he-IL"/>
        </w:rPr>
        <w:t>מצוה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ניחום אבלים</w:t>
      </w:r>
      <w:r>
        <w:rPr>
          <w:lang w:bidi="he-IL"/>
        </w:rPr>
        <w:t>). See ‘Thinking it over’.</w:t>
      </w:r>
    </w:p>
  </w:footnote>
  <w:footnote w:id="3">
    <w:p w:rsidR="003B1F78" w:rsidRDefault="003B1F78" w:rsidP="003B1F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Presumably this refers to </w:t>
      </w:r>
      <w:r>
        <w:rPr>
          <w:rFonts w:hint="cs"/>
          <w:rtl/>
          <w:lang w:bidi="he-IL"/>
        </w:rPr>
        <w:t>ר' אליעזר ברבי יואל הלוי</w:t>
      </w:r>
      <w:r>
        <w:rPr>
          <w:lang w:bidi="he-IL"/>
        </w:rPr>
        <w:t xml:space="preserve">; see </w:t>
      </w:r>
      <w:r>
        <w:rPr>
          <w:rFonts w:hint="cs"/>
          <w:rtl/>
          <w:lang w:bidi="he-IL"/>
        </w:rPr>
        <w:t>שם הגדולים מס' 196</w:t>
      </w:r>
      <w:r>
        <w:rPr>
          <w:lang w:bidi="he-IL"/>
        </w:rPr>
        <w:t>.</w:t>
      </w:r>
    </w:p>
  </w:footnote>
  <w:footnote w:id="4">
    <w:p w:rsidR="004912AD" w:rsidRDefault="004912AD" w:rsidP="003B1F7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</w:t>
      </w:r>
      <w:r w:rsidR="00F3549C">
        <w:t xml:space="preserve"> footnote # 2. </w:t>
      </w:r>
      <w:r w:rsidR="00F3549C">
        <w:t>See</w:t>
      </w:r>
      <w:r>
        <w:t xml:space="preserve"> </w:t>
      </w:r>
      <w:r>
        <w:rPr>
          <w:rFonts w:hint="cs"/>
          <w:rtl/>
          <w:lang w:bidi="he-IL"/>
        </w:rPr>
        <w:t>משכנות הרועים אות פ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AD" w:rsidRPr="00FE1139" w:rsidRDefault="004912AD" w:rsidP="00FE1139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יז,א תוס' ד"ה [ת"ר]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1139"/>
    <w:rsid w:val="00184D2E"/>
    <w:rsid w:val="001A3B47"/>
    <w:rsid w:val="0020216B"/>
    <w:rsid w:val="00210A1E"/>
    <w:rsid w:val="002A4562"/>
    <w:rsid w:val="002A4B22"/>
    <w:rsid w:val="003B1F78"/>
    <w:rsid w:val="003F6705"/>
    <w:rsid w:val="004912AD"/>
    <w:rsid w:val="00495D6A"/>
    <w:rsid w:val="00511DE7"/>
    <w:rsid w:val="00656FB4"/>
    <w:rsid w:val="007552E7"/>
    <w:rsid w:val="007C1011"/>
    <w:rsid w:val="007D1522"/>
    <w:rsid w:val="008343D8"/>
    <w:rsid w:val="0089054C"/>
    <w:rsid w:val="008C1DD3"/>
    <w:rsid w:val="008C7406"/>
    <w:rsid w:val="00915B39"/>
    <w:rsid w:val="009808C2"/>
    <w:rsid w:val="00CC7CEA"/>
    <w:rsid w:val="00D54370"/>
    <w:rsid w:val="00D80DE2"/>
    <w:rsid w:val="00F3549C"/>
    <w:rsid w:val="00FC59AD"/>
    <w:rsid w:val="00FE113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B81A6D-D488-4DD1-AA2B-EFEBE4F8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E11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113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A4B22"/>
    <w:rPr>
      <w:sz w:val="20"/>
      <w:szCs w:val="20"/>
    </w:rPr>
  </w:style>
  <w:style w:type="character" w:styleId="FootnoteReference">
    <w:name w:val="footnote reference"/>
    <w:semiHidden/>
    <w:rsid w:val="002A4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תנו רבנן מעבירין את המת מלפני הכלה – The רבנן taught in a ברייתא; The corpse is removed from the presence of the bride</vt:lpstr>
    </vt:vector>
  </TitlesOfParts>
  <Company> 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תנו רבנן מעבירין את המת מלפני הכלה – The רבנן taught in a ברייתא; The corpse is removed from the presence of the bride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