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B7" w:rsidRDefault="00551608" w:rsidP="00482D24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מבטלין</w:t>
      </w:r>
      <w:r>
        <w:rPr>
          <w:rFonts w:hint="cs"/>
          <w:b/>
          <w:bCs/>
          <w:sz w:val="32"/>
          <w:szCs w:val="32"/>
          <w:rtl/>
        </w:rPr>
        <w:t xml:space="preserve"> תלמוד תורה להוצאת המת</w:t>
      </w:r>
      <w:r w:rsidR="005423B7">
        <w:rPr>
          <w:rFonts w:hint="cs"/>
          <w:b/>
          <w:bCs/>
          <w:sz w:val="32"/>
          <w:szCs w:val="32"/>
          <w:rtl/>
        </w:rPr>
        <w:t xml:space="preserve"> -</w:t>
      </w:r>
      <w:r w:rsidR="005423B7">
        <w:rPr>
          <w:b/>
          <w:bCs/>
          <w:sz w:val="32"/>
          <w:szCs w:val="32"/>
        </w:rPr>
        <w:t xml:space="preserve">          </w:t>
      </w:r>
      <w:r w:rsidR="00482D24">
        <w:rPr>
          <w:b/>
          <w:bCs/>
          <w:sz w:val="32"/>
          <w:szCs w:val="32"/>
        </w:rPr>
        <w:t xml:space="preserve"> </w:t>
      </w:r>
      <w:r w:rsidR="00482D24">
        <w:rPr>
          <w:b/>
          <w:bCs/>
          <w:sz w:val="16"/>
          <w:szCs w:val="16"/>
        </w:rPr>
        <w:t xml:space="preserve">   </w:t>
      </w:r>
      <w:r w:rsidR="005423B7">
        <w:rPr>
          <w:b/>
          <w:bCs/>
          <w:sz w:val="32"/>
          <w:szCs w:val="32"/>
        </w:rPr>
        <w:t xml:space="preserve">        </w:t>
      </w:r>
      <w:r w:rsidR="005423B7">
        <w:rPr>
          <w:rFonts w:hint="cs"/>
          <w:b/>
          <w:bCs/>
          <w:sz w:val="32"/>
          <w:szCs w:val="32"/>
          <w:rtl/>
        </w:rPr>
        <w:t xml:space="preserve"> תורה </w:t>
      </w:r>
      <w:r w:rsidR="005423B7" w:rsidRPr="005423B7">
        <w:rPr>
          <w:b/>
          <w:bCs/>
          <w:sz w:val="32"/>
          <w:szCs w:val="32"/>
        </w:rPr>
        <w:t>The teaching of</w:t>
      </w:r>
      <w:r w:rsidR="005423B7" w:rsidRPr="005423B7">
        <w:rPr>
          <w:b/>
          <w:bCs/>
          <w:sz w:val="32"/>
          <w:szCs w:val="32"/>
          <w:rtl/>
        </w:rPr>
        <w:t xml:space="preserve"> </w:t>
      </w:r>
    </w:p>
    <w:p w:rsidR="0005681E" w:rsidRDefault="00551608" w:rsidP="005423B7">
      <w:pPr>
        <w:spacing w:line="276" w:lineRule="auto"/>
        <w:jc w:val="both"/>
      </w:pPr>
      <w:r>
        <w:rPr>
          <w:b/>
          <w:bCs/>
          <w:sz w:val="32"/>
          <w:szCs w:val="32"/>
        </w:rPr>
        <w:t xml:space="preserve">is disrupted </w:t>
      </w:r>
      <w:r>
        <w:rPr>
          <w:sz w:val="32"/>
          <w:szCs w:val="32"/>
        </w:rPr>
        <w:t xml:space="preserve">in order </w:t>
      </w:r>
      <w:r>
        <w:rPr>
          <w:b/>
          <w:bCs/>
          <w:sz w:val="32"/>
          <w:szCs w:val="32"/>
        </w:rPr>
        <w:t>to take out the dead</w:t>
      </w:r>
      <w:r>
        <w:rPr>
          <w:sz w:val="32"/>
          <w:szCs w:val="32"/>
        </w:rPr>
        <w:t xml:space="preserve"> for burial</w:t>
      </w:r>
    </w:p>
    <w:p w:rsidR="004043D3" w:rsidRDefault="004043D3" w:rsidP="005423B7">
      <w:pPr>
        <w:spacing w:line="276" w:lineRule="auto"/>
        <w:jc w:val="both"/>
      </w:pPr>
    </w:p>
    <w:p w:rsidR="004043D3" w:rsidRPr="005423B7" w:rsidRDefault="000135B6" w:rsidP="005423B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5423B7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0135B6" w:rsidRPr="000135B6" w:rsidRDefault="000135B6" w:rsidP="005423B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teaches us that we disrupt the learning of </w:t>
      </w:r>
      <w:r>
        <w:rPr>
          <w:rFonts w:hint="cs"/>
          <w:sz w:val="28"/>
          <w:szCs w:val="28"/>
          <w:rtl/>
        </w:rPr>
        <w:t>תורה</w:t>
      </w:r>
      <w:r>
        <w:rPr>
          <w:sz w:val="28"/>
          <w:szCs w:val="28"/>
        </w:rPr>
        <w:t xml:space="preserve"> in order to pay our respects at the funeral of a deceased person.</w:t>
      </w:r>
      <w:r w:rsidR="00110215">
        <w:rPr>
          <w:sz w:val="28"/>
          <w:szCs w:val="28"/>
        </w:rPr>
        <w:t xml:space="preserve"> This indicates that to partake in a funeral even as a spectator takes priority over </w:t>
      </w:r>
      <w:r w:rsidR="00110215">
        <w:rPr>
          <w:rFonts w:hint="cs"/>
          <w:sz w:val="28"/>
          <w:szCs w:val="28"/>
          <w:rtl/>
        </w:rPr>
        <w:t>ת"ת</w:t>
      </w:r>
      <w:r w:rsidR="00110215">
        <w:rPr>
          <w:sz w:val="28"/>
          <w:szCs w:val="28"/>
        </w:rPr>
        <w:t>.</w:t>
      </w:r>
      <w:r w:rsidR="00482D24">
        <w:rPr>
          <w:sz w:val="28"/>
          <w:szCs w:val="28"/>
        </w:rPr>
        <w:t xml:space="preserve"> Our </w:t>
      </w:r>
      <w:r w:rsidR="00482D24">
        <w:rPr>
          <w:rFonts w:hint="cs"/>
          <w:sz w:val="28"/>
          <w:szCs w:val="28"/>
          <w:rtl/>
        </w:rPr>
        <w:t>תוספות</w:t>
      </w:r>
      <w:r w:rsidR="00482D24">
        <w:rPr>
          <w:sz w:val="28"/>
          <w:szCs w:val="28"/>
        </w:rPr>
        <w:t xml:space="preserve"> resolves a contradictory ruling.</w:t>
      </w:r>
    </w:p>
    <w:p w:rsidR="004043D3" w:rsidRDefault="00110215" w:rsidP="005423B7">
      <w:pPr>
        <w:spacing w:line="276" w:lineRule="auto"/>
        <w:jc w:val="center"/>
      </w:pPr>
      <w:r>
        <w:t>-------------------</w:t>
      </w:r>
    </w:p>
    <w:p w:rsidR="004043D3" w:rsidRDefault="004043D3" w:rsidP="005423B7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asks a question:</w:t>
      </w:r>
    </w:p>
    <w:p w:rsidR="005423B7" w:rsidRPr="00DA235F" w:rsidRDefault="004043D3" w:rsidP="00DA235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A235F">
        <w:rPr>
          <w:rFonts w:cs="David" w:hint="cs"/>
          <w:b/>
          <w:bCs/>
          <w:sz w:val="28"/>
          <w:szCs w:val="28"/>
          <w:rtl/>
        </w:rPr>
        <w:t>וקשה (דבהלכות</w:t>
      </w:r>
      <w:r w:rsidRPr="00DA235F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Pr="00DA235F">
        <w:rPr>
          <w:rFonts w:cs="David" w:hint="cs"/>
          <w:b/>
          <w:bCs/>
          <w:sz w:val="28"/>
          <w:szCs w:val="28"/>
          <w:rtl/>
        </w:rPr>
        <w:t>) [דבמסכת] דרך ארץ [זוטא</w:t>
      </w:r>
      <w:r w:rsidR="00F727D2" w:rsidRPr="00DA235F">
        <w:rPr>
          <w:rFonts w:cs="David" w:hint="cs"/>
          <w:b/>
          <w:bCs/>
          <w:sz w:val="28"/>
          <w:szCs w:val="28"/>
          <w:rtl/>
        </w:rPr>
        <w:t xml:space="preserve"> </w:t>
      </w:r>
      <w:r w:rsidR="00F91F4D" w:rsidRPr="00DA235F">
        <w:rPr>
          <w:rFonts w:cs="David" w:hint="cs"/>
          <w:b/>
          <w:bCs/>
          <w:sz w:val="20"/>
          <w:szCs w:val="20"/>
          <w:rtl/>
        </w:rPr>
        <w:t>(</w:t>
      </w:r>
      <w:r w:rsidR="00F727D2" w:rsidRPr="00DA235F">
        <w:rPr>
          <w:rFonts w:cs="David" w:hint="cs"/>
          <w:b/>
          <w:bCs/>
          <w:sz w:val="20"/>
          <w:szCs w:val="20"/>
          <w:rtl/>
        </w:rPr>
        <w:t>פ"ח</w:t>
      </w:r>
      <w:r w:rsidR="00F91F4D" w:rsidRPr="00DA235F">
        <w:rPr>
          <w:rFonts w:cs="David" w:hint="cs"/>
          <w:b/>
          <w:bCs/>
          <w:sz w:val="20"/>
          <w:szCs w:val="20"/>
          <w:rtl/>
        </w:rPr>
        <w:t>)</w:t>
      </w:r>
      <w:r w:rsidRPr="00DA235F">
        <w:rPr>
          <w:rFonts w:cs="David" w:hint="cs"/>
          <w:b/>
          <w:bCs/>
          <w:sz w:val="28"/>
          <w:szCs w:val="28"/>
          <w:rtl/>
        </w:rPr>
        <w:t>]</w:t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rFonts w:cs="David"/>
          <w:b/>
          <w:bCs/>
          <w:sz w:val="28"/>
          <w:szCs w:val="28"/>
        </w:rPr>
        <w:t xml:space="preserve"> </w:t>
      </w:r>
    </w:p>
    <w:p w:rsidR="004043D3" w:rsidRDefault="004043D3" w:rsidP="005423B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there is a difficulty</w:t>
      </w:r>
      <w:r w:rsidR="00986B03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for in </w:t>
      </w:r>
      <w:r>
        <w:rPr>
          <w:rFonts w:hint="cs"/>
          <w:b/>
          <w:bCs/>
          <w:sz w:val="28"/>
          <w:szCs w:val="28"/>
          <w:rtl/>
        </w:rPr>
        <w:t>[מסכת] דרך ארץ [זוטא]</w:t>
      </w:r>
      <w:r>
        <w:rPr>
          <w:sz w:val="28"/>
          <w:szCs w:val="28"/>
        </w:rPr>
        <w:t xml:space="preserve"> </w:t>
      </w:r>
      <w:r w:rsidRPr="00110215">
        <w:t>we have learnt that</w:t>
      </w:r>
      <w:r w:rsidRPr="00110215">
        <w:rPr>
          <w:b/>
          <w:bCs/>
        </w:rPr>
        <w:t xml:space="preserve"> –</w:t>
      </w:r>
    </w:p>
    <w:p w:rsidR="005423B7" w:rsidRPr="00DA235F" w:rsidRDefault="004043D3" w:rsidP="00DA235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A235F">
        <w:rPr>
          <w:rFonts w:cs="David" w:hint="cs"/>
          <w:b/>
          <w:bCs/>
          <w:sz w:val="28"/>
          <w:szCs w:val="28"/>
          <w:rtl/>
        </w:rPr>
        <w:t>אמר רבי עקיבא תחלת תשמישי לפני חכמים</w:t>
      </w:r>
      <w:r w:rsidR="00DA235F" w:rsidRPr="00DA235F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rFonts w:cs="David"/>
          <w:b/>
          <w:bCs/>
          <w:sz w:val="28"/>
          <w:szCs w:val="28"/>
        </w:rPr>
        <w:t xml:space="preserve"> </w:t>
      </w:r>
    </w:p>
    <w:p w:rsidR="004043D3" w:rsidRPr="000952C7" w:rsidRDefault="004043D3" w:rsidP="005423B7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ר"ע</w:t>
      </w:r>
      <w:r>
        <w:rPr>
          <w:b/>
          <w:bCs/>
          <w:sz w:val="28"/>
          <w:szCs w:val="28"/>
        </w:rPr>
        <w:t xml:space="preserve"> said my initial training before the sages </w:t>
      </w:r>
      <w:r w:rsidRPr="000952C7">
        <w:t>was in the following episode –</w:t>
      </w:r>
    </w:p>
    <w:p w:rsidR="005423B7" w:rsidRPr="00DA235F" w:rsidRDefault="004043D3" w:rsidP="00DA235F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DA235F">
        <w:rPr>
          <w:rFonts w:cs="David" w:hint="cs"/>
          <w:b/>
          <w:bCs/>
          <w:sz w:val="28"/>
          <w:szCs w:val="28"/>
          <w:rtl/>
        </w:rPr>
        <w:t>פעם אחת הייתי מהלך בדרך</w:t>
      </w:r>
      <w:r w:rsidR="005423B7" w:rsidRPr="00DA235F">
        <w:rPr>
          <w:rFonts w:cs="David" w:hint="cs"/>
          <w:b/>
          <w:bCs/>
          <w:sz w:val="28"/>
          <w:szCs w:val="28"/>
          <w:rtl/>
        </w:rPr>
        <w:t xml:space="preserve"> ומצאתי מת מצוה ונטפלתי בו ד' מילין</w:t>
      </w:r>
      <w:r w:rsidR="005423B7" w:rsidRPr="00DA235F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b/>
          <w:bCs/>
          <w:sz w:val="28"/>
          <w:szCs w:val="28"/>
        </w:rPr>
        <w:t xml:space="preserve"> </w:t>
      </w:r>
    </w:p>
    <w:p w:rsidR="00986B03" w:rsidRDefault="004043D3" w:rsidP="005423B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time I was traveling on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 road and I found a dead </w:t>
      </w:r>
      <w:r>
        <w:rPr>
          <w:sz w:val="28"/>
          <w:szCs w:val="28"/>
        </w:rPr>
        <w:t xml:space="preserve">person, on whom there was a </w:t>
      </w:r>
      <w:r>
        <w:rPr>
          <w:rFonts w:hint="cs"/>
          <w:b/>
          <w:bCs/>
          <w:sz w:val="28"/>
          <w:szCs w:val="28"/>
          <w:rtl/>
        </w:rPr>
        <w:t>מצוה</w:t>
      </w:r>
      <w:r>
        <w:rPr>
          <w:b/>
          <w:bCs/>
          <w:sz w:val="28"/>
          <w:szCs w:val="28"/>
        </w:rPr>
        <w:t xml:space="preserve"> </w:t>
      </w:r>
      <w:r w:rsidRPr="005423B7">
        <w:rPr>
          <w:sz w:val="28"/>
          <w:szCs w:val="28"/>
        </w:rPr>
        <w:t>to bury him</w:t>
      </w:r>
      <w:r w:rsidRPr="005423B7">
        <w:rPr>
          <w:rStyle w:val="FootnoteReference"/>
          <w:sz w:val="28"/>
          <w:szCs w:val="28"/>
        </w:rPr>
        <w:footnoteReference w:id="4"/>
      </w:r>
      <w:r w:rsidRPr="005423B7">
        <w:rPr>
          <w:sz w:val="28"/>
          <w:szCs w:val="28"/>
        </w:rPr>
        <w:t xml:space="preserve"> </w:t>
      </w:r>
      <w:r w:rsidR="00986B03">
        <w:rPr>
          <w:b/>
          <w:bCs/>
          <w:sz w:val="28"/>
          <w:szCs w:val="28"/>
        </w:rPr>
        <w:t>and I was occupied with him,</w:t>
      </w:r>
      <w:r w:rsidR="00986B03">
        <w:rPr>
          <w:sz w:val="28"/>
          <w:szCs w:val="28"/>
        </w:rPr>
        <w:t xml:space="preserve"> carrying him a distance of </w:t>
      </w:r>
      <w:r w:rsidR="00986B03">
        <w:rPr>
          <w:b/>
          <w:bCs/>
          <w:sz w:val="28"/>
          <w:szCs w:val="28"/>
        </w:rPr>
        <w:t xml:space="preserve">four </w:t>
      </w:r>
      <w:r w:rsidR="00986B03">
        <w:rPr>
          <w:rFonts w:hint="cs"/>
          <w:b/>
          <w:bCs/>
          <w:sz w:val="28"/>
          <w:szCs w:val="28"/>
          <w:rtl/>
        </w:rPr>
        <w:t>מילין</w:t>
      </w:r>
      <w:r w:rsidR="00986B03">
        <w:rPr>
          <w:b/>
          <w:bCs/>
          <w:sz w:val="28"/>
          <w:szCs w:val="28"/>
        </w:rPr>
        <w:t xml:space="preserve"> -</w:t>
      </w:r>
    </w:p>
    <w:p w:rsidR="005423B7" w:rsidRPr="00DA235F" w:rsidRDefault="00986B03" w:rsidP="00DA235F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A235F">
        <w:rPr>
          <w:rFonts w:cs="David" w:hint="cs"/>
          <w:b/>
          <w:bCs/>
          <w:sz w:val="28"/>
          <w:szCs w:val="28"/>
          <w:rtl/>
        </w:rPr>
        <w:t>עד שהבאתיו לבית הקברות וקברתיו</w:t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rFonts w:cs="David"/>
          <w:b/>
          <w:bCs/>
          <w:sz w:val="28"/>
          <w:szCs w:val="28"/>
        </w:rPr>
        <w:t xml:space="preserve"> </w:t>
      </w:r>
    </w:p>
    <w:p w:rsidR="00986B03" w:rsidRDefault="00DA235F" w:rsidP="005423B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Until</w:t>
      </w:r>
      <w:r w:rsidR="00986B03">
        <w:rPr>
          <w:b/>
          <w:bCs/>
          <w:sz w:val="28"/>
          <w:szCs w:val="28"/>
        </w:rPr>
        <w:t xml:space="preserve"> I brought him to a cemetery </w:t>
      </w:r>
      <w:r w:rsidR="00986B03">
        <w:rPr>
          <w:sz w:val="28"/>
          <w:szCs w:val="28"/>
        </w:rPr>
        <w:t xml:space="preserve">where </w:t>
      </w:r>
      <w:r w:rsidR="00986B03">
        <w:rPr>
          <w:b/>
          <w:bCs/>
          <w:sz w:val="28"/>
          <w:szCs w:val="28"/>
        </w:rPr>
        <w:t>I buried him –</w:t>
      </w:r>
    </w:p>
    <w:p w:rsidR="005423B7" w:rsidRPr="00DA235F" w:rsidRDefault="00986B03" w:rsidP="00DA235F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DA235F">
        <w:rPr>
          <w:rFonts w:cs="David" w:hint="cs"/>
          <w:b/>
          <w:bCs/>
          <w:sz w:val="28"/>
          <w:szCs w:val="28"/>
          <w:rtl/>
        </w:rPr>
        <w:t>וכשבאתי והרציתי דברי לפני רבי אלעזר ורבי יהושע</w:t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rFonts w:cs="David"/>
          <w:b/>
          <w:bCs/>
          <w:sz w:val="28"/>
          <w:szCs w:val="28"/>
        </w:rPr>
        <w:t xml:space="preserve"> </w:t>
      </w:r>
    </w:p>
    <w:p w:rsidR="00986B03" w:rsidRPr="000952C7" w:rsidRDefault="005423B7" w:rsidP="005423B7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986B03">
        <w:rPr>
          <w:b/>
          <w:bCs/>
          <w:sz w:val="28"/>
          <w:szCs w:val="28"/>
        </w:rPr>
        <w:t xml:space="preserve"> when I came and presented my story before </w:t>
      </w:r>
      <w:r w:rsidR="00986B03">
        <w:rPr>
          <w:rFonts w:hint="cs"/>
          <w:b/>
          <w:bCs/>
          <w:sz w:val="28"/>
          <w:szCs w:val="28"/>
          <w:rtl/>
        </w:rPr>
        <w:t>ר"א ור"י</w:t>
      </w:r>
      <w:r w:rsidR="00986B03">
        <w:rPr>
          <w:b/>
          <w:bCs/>
          <w:sz w:val="28"/>
          <w:szCs w:val="28"/>
        </w:rPr>
        <w:t xml:space="preserve"> </w:t>
      </w:r>
      <w:r w:rsidR="00986B03" w:rsidRPr="000952C7">
        <w:t xml:space="preserve">(these were the </w:t>
      </w:r>
      <w:r w:rsidR="00986B03" w:rsidRPr="000952C7">
        <w:rPr>
          <w:rFonts w:hint="cs"/>
          <w:rtl/>
        </w:rPr>
        <w:t>רביים</w:t>
      </w:r>
      <w:r w:rsidR="00986B03" w:rsidRPr="000952C7">
        <w:t xml:space="preserve"> of </w:t>
      </w:r>
      <w:r w:rsidR="00986B03" w:rsidRPr="000952C7">
        <w:rPr>
          <w:rFonts w:hint="cs"/>
          <w:rtl/>
        </w:rPr>
        <w:t>ר"ע</w:t>
      </w:r>
      <w:r w:rsidR="00986B03" w:rsidRPr="000952C7">
        <w:t>) –</w:t>
      </w:r>
    </w:p>
    <w:p w:rsidR="005423B7" w:rsidRPr="00DA235F" w:rsidRDefault="00986B03" w:rsidP="00DA235F">
      <w:pPr>
        <w:bidi/>
        <w:spacing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DA235F">
        <w:rPr>
          <w:rFonts w:cs="David" w:hint="cs"/>
          <w:b/>
          <w:bCs/>
          <w:sz w:val="28"/>
          <w:szCs w:val="28"/>
          <w:rtl/>
        </w:rPr>
        <w:t>אמרו לי על כל פסיעה ופסיעה</w:t>
      </w:r>
      <w:r w:rsidR="005423B7" w:rsidRPr="00DA235F">
        <w:rPr>
          <w:rFonts w:cs="David" w:hint="cs"/>
          <w:b/>
          <w:bCs/>
          <w:sz w:val="28"/>
          <w:szCs w:val="28"/>
          <w:rtl/>
        </w:rPr>
        <w:t xml:space="preserve"> כאילו שפכת דם נקי</w:t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b/>
          <w:bCs/>
          <w:sz w:val="28"/>
          <w:szCs w:val="28"/>
        </w:rPr>
        <w:t xml:space="preserve"> </w:t>
      </w:r>
    </w:p>
    <w:p w:rsidR="002565C8" w:rsidRPr="000952C7" w:rsidRDefault="00DA235F" w:rsidP="00DA235F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They</w:t>
      </w:r>
      <w:r w:rsidR="00986B03">
        <w:rPr>
          <w:b/>
          <w:bCs/>
          <w:sz w:val="28"/>
          <w:szCs w:val="28"/>
        </w:rPr>
        <w:t xml:space="preserve"> said to me for every single footstep </w:t>
      </w:r>
      <w:r w:rsidR="00986B03" w:rsidRPr="005423B7">
        <w:rPr>
          <w:sz w:val="28"/>
          <w:szCs w:val="28"/>
        </w:rPr>
        <w:t xml:space="preserve">that you took in carrying this </w:t>
      </w:r>
      <w:r w:rsidR="00986B03" w:rsidRPr="005423B7">
        <w:rPr>
          <w:rFonts w:hint="cs"/>
          <w:sz w:val="28"/>
          <w:szCs w:val="28"/>
          <w:rtl/>
        </w:rPr>
        <w:t>מת</w:t>
      </w:r>
      <w:r w:rsidR="00986B03" w:rsidRPr="005423B7">
        <w:rPr>
          <w:sz w:val="28"/>
          <w:szCs w:val="28"/>
        </w:rPr>
        <w:t xml:space="preserve"> for </w:t>
      </w:r>
      <w:r w:rsidR="00986B03" w:rsidRPr="005423B7">
        <w:rPr>
          <w:rFonts w:hint="cs"/>
          <w:sz w:val="28"/>
          <w:szCs w:val="28"/>
          <w:rtl/>
        </w:rPr>
        <w:t>ד' מילין</w:t>
      </w:r>
      <w:r w:rsidR="00986B03" w:rsidRPr="005423B7">
        <w:rPr>
          <w:sz w:val="28"/>
          <w:szCs w:val="28"/>
        </w:rPr>
        <w:t xml:space="preserve"> </w:t>
      </w:r>
      <w:r w:rsidR="00986B03">
        <w:rPr>
          <w:b/>
          <w:bCs/>
          <w:sz w:val="28"/>
          <w:szCs w:val="28"/>
        </w:rPr>
        <w:t>it is as if you have spilled innocent blood</w:t>
      </w:r>
      <w:r w:rsidR="00986B03">
        <w:rPr>
          <w:sz w:val="28"/>
          <w:szCs w:val="28"/>
        </w:rPr>
        <w:t xml:space="preserve"> </w:t>
      </w:r>
      <w:r w:rsidR="00986B03" w:rsidRPr="000952C7">
        <w:t>(each time you took an additional footstep)</w:t>
      </w:r>
      <w:r w:rsidR="00986B03" w:rsidRPr="000952C7">
        <w:rPr>
          <w:b/>
          <w:bCs/>
        </w:rPr>
        <w:t xml:space="preserve">. </w:t>
      </w:r>
      <w:r w:rsidR="00986B03" w:rsidRPr="000952C7">
        <w:rPr>
          <w:rFonts w:hint="cs"/>
          <w:rtl/>
        </w:rPr>
        <w:t>תוספות</w:t>
      </w:r>
      <w:r w:rsidR="00986B03" w:rsidRPr="000952C7">
        <w:t xml:space="preserve"> is presently assuming that </w:t>
      </w:r>
      <w:r w:rsidR="00986B03" w:rsidRPr="000952C7">
        <w:rPr>
          <w:rFonts w:hint="cs"/>
          <w:rtl/>
        </w:rPr>
        <w:t>ר"ע</w:t>
      </w:r>
      <w:r w:rsidR="00986B03" w:rsidRPr="000952C7">
        <w:t xml:space="preserve"> told them this story (perhaps) to explain his tardiness in coming to the </w:t>
      </w:r>
      <w:r w:rsidR="00986B03" w:rsidRPr="000952C7">
        <w:rPr>
          <w:rFonts w:hint="cs"/>
          <w:rtl/>
        </w:rPr>
        <w:t>בית המדרש</w:t>
      </w:r>
      <w:r w:rsidR="00986B03" w:rsidRPr="000952C7">
        <w:t xml:space="preserve">. </w:t>
      </w:r>
      <w:r w:rsidR="005075B3" w:rsidRPr="000952C7">
        <w:t xml:space="preserve">Seemingly their response was that this is no excuse. The </w:t>
      </w:r>
      <w:r w:rsidR="005075B3" w:rsidRPr="000952C7">
        <w:rPr>
          <w:rFonts w:hint="cs"/>
          <w:rtl/>
        </w:rPr>
        <w:t>מצוה</w:t>
      </w:r>
      <w:r w:rsidR="005075B3" w:rsidRPr="000952C7">
        <w:t xml:space="preserve"> of </w:t>
      </w:r>
      <w:r w:rsidR="005075B3" w:rsidRPr="000952C7">
        <w:rPr>
          <w:rFonts w:hint="cs"/>
          <w:rtl/>
        </w:rPr>
        <w:t>תלמוד תורה</w:t>
      </w:r>
      <w:r w:rsidR="005075B3" w:rsidRPr="000952C7">
        <w:t xml:space="preserve"> is greater than burying the dead (even a </w:t>
      </w:r>
      <w:r w:rsidR="005075B3" w:rsidRPr="000952C7">
        <w:rPr>
          <w:rFonts w:hint="cs"/>
          <w:rtl/>
        </w:rPr>
        <w:t>מת מצוה</w:t>
      </w:r>
      <w:r w:rsidR="005075B3" w:rsidRPr="000952C7">
        <w:t xml:space="preserve">). Therefore for every step that you took in burying this </w:t>
      </w:r>
      <w:r w:rsidR="005075B3" w:rsidRPr="000952C7">
        <w:rPr>
          <w:rFonts w:hint="cs"/>
          <w:rtl/>
        </w:rPr>
        <w:t>מת</w:t>
      </w:r>
      <w:r w:rsidR="005075B3" w:rsidRPr="000952C7">
        <w:t xml:space="preserve">, which caused </w:t>
      </w:r>
      <w:r w:rsidR="005075B3" w:rsidRPr="000952C7">
        <w:rPr>
          <w:rFonts w:hint="cs"/>
          <w:rtl/>
        </w:rPr>
        <w:t>ביטול תורה</w:t>
      </w:r>
      <w:r w:rsidR="005075B3" w:rsidRPr="000952C7">
        <w:t xml:space="preserve">, you are </w:t>
      </w:r>
      <w:r w:rsidR="005075B3" w:rsidRPr="000952C7">
        <w:rPr>
          <w:rFonts w:hint="cs"/>
          <w:rtl/>
        </w:rPr>
        <w:t>מחויב מיתה</w:t>
      </w:r>
      <w:r w:rsidR="005423B7">
        <w:t>.</w:t>
      </w:r>
      <w:r w:rsidR="00596964">
        <w:rPr>
          <w:rStyle w:val="FootnoteReference"/>
        </w:rPr>
        <w:footnoteReference w:id="5"/>
      </w:r>
      <w:r w:rsidR="005075B3" w:rsidRPr="000952C7">
        <w:t xml:space="preserve"> Based on this assumption </w:t>
      </w:r>
      <w:r w:rsidR="005075B3" w:rsidRPr="000952C7">
        <w:rPr>
          <w:rFonts w:hint="cs"/>
          <w:rtl/>
        </w:rPr>
        <w:t>תוספות</w:t>
      </w:r>
      <w:r w:rsidR="005075B3" w:rsidRPr="000952C7">
        <w:t xml:space="preserve"> raises the contradiction between our </w:t>
      </w:r>
      <w:r w:rsidR="005075B3" w:rsidRPr="000952C7">
        <w:rPr>
          <w:rFonts w:hint="cs"/>
          <w:rtl/>
        </w:rPr>
        <w:t>גמרא</w:t>
      </w:r>
      <w:r w:rsidR="005075B3" w:rsidRPr="000952C7">
        <w:t xml:space="preserve"> which states that </w:t>
      </w:r>
      <w:r w:rsidR="005075B3" w:rsidRPr="000952C7">
        <w:rPr>
          <w:rFonts w:hint="cs"/>
          <w:rtl/>
        </w:rPr>
        <w:t>מבטלין ת"ת להוצאת המת</w:t>
      </w:r>
      <w:r w:rsidR="005075B3" w:rsidRPr="000952C7">
        <w:t xml:space="preserve"> (even not for a </w:t>
      </w:r>
      <w:r w:rsidR="005075B3" w:rsidRPr="000952C7">
        <w:rPr>
          <w:rFonts w:hint="cs"/>
          <w:rtl/>
        </w:rPr>
        <w:t>מת מצוה</w:t>
      </w:r>
      <w:r w:rsidR="005075B3" w:rsidRPr="000952C7">
        <w:t xml:space="preserve">) and the story in </w:t>
      </w:r>
      <w:r w:rsidR="005075B3" w:rsidRPr="000952C7">
        <w:rPr>
          <w:rFonts w:hint="cs"/>
          <w:rtl/>
        </w:rPr>
        <w:t>מסכת ד"א</w:t>
      </w:r>
      <w:r w:rsidR="005075B3" w:rsidRPr="000952C7">
        <w:t xml:space="preserve"> </w:t>
      </w:r>
      <w:r w:rsidR="005075B3" w:rsidRPr="000952C7">
        <w:lastRenderedPageBreak/>
        <w:t xml:space="preserve">which seems to imply that </w:t>
      </w:r>
      <w:r w:rsidR="005075B3" w:rsidRPr="000952C7">
        <w:rPr>
          <w:rFonts w:hint="cs"/>
          <w:rtl/>
        </w:rPr>
        <w:t>ת"ת</w:t>
      </w:r>
      <w:r w:rsidR="005075B3" w:rsidRPr="000952C7">
        <w:t xml:space="preserve"> is far greater than even burying a </w:t>
      </w:r>
      <w:r w:rsidR="005075B3" w:rsidRPr="000952C7">
        <w:rPr>
          <w:rFonts w:hint="cs"/>
          <w:rtl/>
        </w:rPr>
        <w:t>מת מצוה</w:t>
      </w:r>
      <w:r w:rsidR="005075B3" w:rsidRPr="000952C7">
        <w:t xml:space="preserve"> (and certainly greater than</w:t>
      </w:r>
      <w:r w:rsidR="000952C7">
        <w:t xml:space="preserve"> the</w:t>
      </w:r>
      <w:r w:rsidR="005075B3" w:rsidRPr="000952C7">
        <w:t xml:space="preserve"> </w:t>
      </w:r>
      <w:r w:rsidR="005075B3" w:rsidRPr="000952C7">
        <w:rPr>
          <w:rFonts w:hint="cs"/>
          <w:rtl/>
        </w:rPr>
        <w:t>הוצאה</w:t>
      </w:r>
      <w:r w:rsidR="005075B3" w:rsidRPr="000952C7">
        <w:t xml:space="preserve"> of a ‘regular’ </w:t>
      </w:r>
      <w:r w:rsidR="005075B3" w:rsidRPr="000952C7">
        <w:rPr>
          <w:rFonts w:hint="cs"/>
          <w:rtl/>
        </w:rPr>
        <w:t>מת</w:t>
      </w:r>
      <w:r w:rsidR="005075B3" w:rsidRPr="000952C7">
        <w:t>).</w:t>
      </w:r>
    </w:p>
    <w:p w:rsidR="002565C8" w:rsidRPr="000952C7" w:rsidRDefault="002565C8" w:rsidP="00DA235F">
      <w:pPr>
        <w:widowControl w:val="0"/>
        <w:spacing w:line="276" w:lineRule="auto"/>
        <w:jc w:val="both"/>
      </w:pPr>
    </w:p>
    <w:p w:rsidR="002565C8" w:rsidRPr="000952C7" w:rsidRDefault="002565C8" w:rsidP="00DA235F">
      <w:pPr>
        <w:widowControl w:val="0"/>
        <w:spacing w:line="276" w:lineRule="auto"/>
        <w:jc w:val="both"/>
      </w:pPr>
      <w:r w:rsidRPr="000952C7">
        <w:rPr>
          <w:rFonts w:hint="cs"/>
          <w:rtl/>
        </w:rPr>
        <w:t>תוספות</w:t>
      </w:r>
      <w:r w:rsidRPr="000952C7">
        <w:t xml:space="preserve"> answers:</w:t>
      </w:r>
    </w:p>
    <w:p w:rsidR="007A4E80" w:rsidRPr="00DA235F" w:rsidRDefault="002565C8" w:rsidP="00DA235F">
      <w:pPr>
        <w:widowControl w:val="0"/>
        <w:bidi/>
        <w:spacing w:line="276" w:lineRule="auto"/>
        <w:jc w:val="both"/>
        <w:rPr>
          <w:b/>
          <w:bCs/>
          <w:sz w:val="28"/>
          <w:szCs w:val="28"/>
        </w:rPr>
      </w:pPr>
      <w:r w:rsidRPr="00DA235F">
        <w:rPr>
          <w:rFonts w:cs="David" w:hint="cs"/>
          <w:b/>
          <w:bCs/>
          <w:sz w:val="28"/>
          <w:szCs w:val="28"/>
          <w:rtl/>
        </w:rPr>
        <w:t>ויש לומר דהתם</w:t>
      </w:r>
      <w:r w:rsidR="007A4E80" w:rsidRPr="00DA235F">
        <w:rPr>
          <w:rFonts w:cs="David" w:hint="cs"/>
          <w:b/>
          <w:bCs/>
          <w:sz w:val="28"/>
          <w:szCs w:val="28"/>
          <w:rtl/>
        </w:rPr>
        <w:t xml:space="preserve"> לאו משום ביטול תורה</w:t>
      </w:r>
      <w:r w:rsidRPr="00DA235F">
        <w:rPr>
          <w:rFonts w:cs="David"/>
          <w:b/>
          <w:bCs/>
          <w:sz w:val="28"/>
          <w:szCs w:val="28"/>
        </w:rPr>
        <w:t xml:space="preserve"> </w:t>
      </w:r>
      <w:r w:rsidR="00DA235F">
        <w:rPr>
          <w:rFonts w:cs="David" w:hint="cs"/>
          <w:b/>
          <w:bCs/>
          <w:sz w:val="28"/>
          <w:szCs w:val="28"/>
          <w:rtl/>
        </w:rPr>
        <w:t>-</w:t>
      </w:r>
      <w:r w:rsidRPr="00DA235F">
        <w:rPr>
          <w:b/>
          <w:bCs/>
          <w:sz w:val="28"/>
          <w:szCs w:val="28"/>
        </w:rPr>
        <w:t xml:space="preserve"> </w:t>
      </w:r>
    </w:p>
    <w:p w:rsidR="002565C8" w:rsidRPr="000952C7" w:rsidRDefault="00DA235F" w:rsidP="00DA235F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</w:t>
      </w:r>
      <w:r w:rsidR="002565C8">
        <w:rPr>
          <w:b/>
          <w:bCs/>
          <w:sz w:val="28"/>
          <w:szCs w:val="28"/>
        </w:rPr>
        <w:t xml:space="preserve">nd one can say that there </w:t>
      </w:r>
      <w:r w:rsidR="002565C8" w:rsidRPr="007A4E80">
        <w:rPr>
          <w:sz w:val="28"/>
          <w:szCs w:val="28"/>
        </w:rPr>
        <w:t xml:space="preserve">by the story of </w:t>
      </w:r>
      <w:r w:rsidR="002565C8" w:rsidRPr="007A4E80">
        <w:rPr>
          <w:rFonts w:hint="cs"/>
          <w:sz w:val="28"/>
          <w:szCs w:val="28"/>
          <w:rtl/>
        </w:rPr>
        <w:t>ר"ע</w:t>
      </w:r>
      <w:r w:rsidR="002565C8" w:rsidRPr="007A4E80">
        <w:rPr>
          <w:sz w:val="28"/>
          <w:szCs w:val="28"/>
        </w:rPr>
        <w:t xml:space="preserve"> </w:t>
      </w:r>
      <w:r w:rsidR="002565C8">
        <w:rPr>
          <w:b/>
          <w:bCs/>
          <w:sz w:val="28"/>
          <w:szCs w:val="28"/>
        </w:rPr>
        <w:t xml:space="preserve">it was not on account of </w:t>
      </w:r>
      <w:r w:rsidR="002565C8">
        <w:rPr>
          <w:rFonts w:hint="cs"/>
          <w:b/>
          <w:bCs/>
          <w:sz w:val="28"/>
          <w:szCs w:val="28"/>
          <w:rtl/>
        </w:rPr>
        <w:t>ביטול תורה</w:t>
      </w:r>
      <w:r w:rsidR="002565C8">
        <w:rPr>
          <w:b/>
          <w:bCs/>
          <w:sz w:val="28"/>
          <w:szCs w:val="28"/>
        </w:rPr>
        <w:t xml:space="preserve"> </w:t>
      </w:r>
      <w:r w:rsidR="002565C8" w:rsidRPr="000952C7">
        <w:t xml:space="preserve">that </w:t>
      </w:r>
      <w:r w:rsidR="002565C8" w:rsidRPr="000952C7">
        <w:rPr>
          <w:rFonts w:hint="cs"/>
          <w:rtl/>
        </w:rPr>
        <w:t>ר"א ור"י</w:t>
      </w:r>
      <w:r w:rsidR="002565C8" w:rsidRPr="000952C7">
        <w:t xml:space="preserve"> admonished </w:t>
      </w:r>
      <w:r w:rsidR="002565C8" w:rsidRPr="000952C7">
        <w:rPr>
          <w:rFonts w:hint="cs"/>
          <w:rtl/>
        </w:rPr>
        <w:t>ר"ע</w:t>
      </w:r>
      <w:r w:rsidR="00D73147" w:rsidRPr="000952C7">
        <w:t xml:space="preserve">, for as the </w:t>
      </w:r>
      <w:r w:rsidR="00D73147" w:rsidRPr="000952C7">
        <w:rPr>
          <w:rFonts w:hint="cs"/>
          <w:rtl/>
        </w:rPr>
        <w:t>גמרא</w:t>
      </w:r>
      <w:r w:rsidR="00D73147" w:rsidRPr="000952C7">
        <w:t xml:space="preserve"> states here on the contrary that </w:t>
      </w:r>
      <w:r w:rsidR="00D73147" w:rsidRPr="000952C7">
        <w:rPr>
          <w:rFonts w:hint="cs"/>
          <w:rtl/>
        </w:rPr>
        <w:t>מבטלין ת"ת להוצאת  המת</w:t>
      </w:r>
      <w:r w:rsidR="00D73147" w:rsidRPr="000952C7">
        <w:t xml:space="preserve"> and certainly for </w:t>
      </w:r>
      <w:r w:rsidR="00997DCA">
        <w:t>the</w:t>
      </w:r>
      <w:r w:rsidR="000952C7">
        <w:t xml:space="preserve"> burial of a</w:t>
      </w:r>
      <w:r w:rsidR="00D73147" w:rsidRPr="000952C7">
        <w:t xml:space="preserve"> </w:t>
      </w:r>
      <w:r w:rsidR="00D73147" w:rsidRPr="000952C7">
        <w:rPr>
          <w:rFonts w:hint="cs"/>
          <w:rtl/>
        </w:rPr>
        <w:t>מת מצוה</w:t>
      </w:r>
      <w:r w:rsidR="00D73147" w:rsidRPr="000952C7">
        <w:t xml:space="preserve"> –</w:t>
      </w:r>
    </w:p>
    <w:p w:rsidR="007A4E80" w:rsidRPr="00831B49" w:rsidRDefault="00D73147" w:rsidP="00831B49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831B49">
        <w:rPr>
          <w:rFonts w:cs="David" w:hint="cs"/>
          <w:b/>
          <w:bCs/>
          <w:sz w:val="28"/>
          <w:szCs w:val="28"/>
          <w:rtl/>
        </w:rPr>
        <w:t>אלא</w:t>
      </w:r>
      <w:r w:rsidR="007A4E80" w:rsidRPr="00831B49">
        <w:rPr>
          <w:rFonts w:cs="David"/>
          <w:b/>
          <w:bCs/>
          <w:sz w:val="28"/>
          <w:szCs w:val="28"/>
        </w:rPr>
        <w:t xml:space="preserve"> </w:t>
      </w:r>
      <w:r w:rsidR="007A4E80" w:rsidRPr="00831B49">
        <w:rPr>
          <w:rFonts w:cs="David" w:hint="cs"/>
          <w:b/>
          <w:bCs/>
          <w:sz w:val="28"/>
          <w:szCs w:val="28"/>
          <w:rtl/>
        </w:rPr>
        <w:t>משום דמת מצוה קנה מקומו</w:t>
      </w:r>
      <w:r w:rsidR="00831B49">
        <w:rPr>
          <w:rStyle w:val="FootnoteReference"/>
          <w:rFonts w:cs="David"/>
          <w:b/>
          <w:bCs/>
          <w:sz w:val="28"/>
          <w:szCs w:val="28"/>
          <w:rtl/>
        </w:rPr>
        <w:footnoteReference w:id="6"/>
      </w:r>
      <w:r w:rsidR="007A4E80" w:rsidRPr="00831B49">
        <w:rPr>
          <w:rFonts w:cs="David" w:hint="cs"/>
          <w:b/>
          <w:bCs/>
          <w:sz w:val="28"/>
          <w:szCs w:val="28"/>
          <w:rtl/>
        </w:rPr>
        <w:t xml:space="preserve"> והיה לו לקוברו במקום שמצאו -</w:t>
      </w:r>
    </w:p>
    <w:p w:rsidR="00D73147" w:rsidRPr="000952C7" w:rsidRDefault="007A4E80" w:rsidP="00831B49">
      <w:pPr>
        <w:spacing w:line="276" w:lineRule="auto"/>
        <w:jc w:val="both"/>
      </w:pPr>
      <w:r>
        <w:rPr>
          <w:b/>
          <w:bCs/>
          <w:sz w:val="28"/>
          <w:szCs w:val="28"/>
        </w:rPr>
        <w:t>But</w:t>
      </w:r>
      <w:r w:rsidR="00D73147">
        <w:rPr>
          <w:b/>
          <w:bCs/>
          <w:sz w:val="28"/>
          <w:szCs w:val="28"/>
        </w:rPr>
        <w:t xml:space="preserve"> rather </w:t>
      </w:r>
      <w:r w:rsidR="00D73147" w:rsidRPr="007A4E80">
        <w:rPr>
          <w:sz w:val="28"/>
          <w:szCs w:val="28"/>
        </w:rPr>
        <w:t xml:space="preserve">the reason they admonished him so harshly was </w:t>
      </w:r>
      <w:r w:rsidR="00831B49">
        <w:rPr>
          <w:b/>
          <w:bCs/>
          <w:sz w:val="28"/>
          <w:szCs w:val="28"/>
        </w:rPr>
        <w:t>because</w:t>
      </w:r>
      <w:r w:rsidR="00D73147">
        <w:rPr>
          <w:b/>
          <w:bCs/>
          <w:sz w:val="28"/>
          <w:szCs w:val="28"/>
        </w:rPr>
        <w:t xml:space="preserve"> a </w:t>
      </w:r>
      <w:r w:rsidR="00D73147">
        <w:rPr>
          <w:rFonts w:hint="cs"/>
          <w:b/>
          <w:bCs/>
          <w:sz w:val="28"/>
          <w:szCs w:val="28"/>
          <w:rtl/>
        </w:rPr>
        <w:t>מת מצוה</w:t>
      </w:r>
      <w:r w:rsidR="00D73147">
        <w:rPr>
          <w:b/>
          <w:bCs/>
          <w:sz w:val="28"/>
          <w:szCs w:val="28"/>
        </w:rPr>
        <w:t xml:space="preserve"> acquired</w:t>
      </w:r>
      <w:r w:rsidR="00D73147">
        <w:rPr>
          <w:sz w:val="28"/>
          <w:szCs w:val="28"/>
        </w:rPr>
        <w:t xml:space="preserve"> ‘ownership’ of </w:t>
      </w:r>
      <w:r w:rsidR="00D73147">
        <w:rPr>
          <w:b/>
          <w:bCs/>
          <w:sz w:val="28"/>
          <w:szCs w:val="28"/>
        </w:rPr>
        <w:t>his place</w:t>
      </w:r>
      <w:r w:rsidR="00D73147">
        <w:rPr>
          <w:sz w:val="28"/>
          <w:szCs w:val="28"/>
        </w:rPr>
        <w:t xml:space="preserve"> </w:t>
      </w:r>
      <w:r w:rsidR="00D73147" w:rsidRPr="007A4E80">
        <w:rPr>
          <w:sz w:val="28"/>
          <w:szCs w:val="28"/>
        </w:rPr>
        <w:t>where he died</w:t>
      </w:r>
      <w:r w:rsidR="00831B49">
        <w:rPr>
          <w:sz w:val="28"/>
          <w:szCs w:val="28"/>
        </w:rPr>
        <w:t>,</w:t>
      </w:r>
      <w:r w:rsidR="00D73147" w:rsidRPr="007A4E80">
        <w:rPr>
          <w:sz w:val="28"/>
          <w:szCs w:val="28"/>
        </w:rPr>
        <w:t xml:space="preserve"> </w:t>
      </w:r>
      <w:r w:rsidR="00D73147">
        <w:rPr>
          <w:b/>
          <w:bCs/>
          <w:sz w:val="28"/>
          <w:szCs w:val="28"/>
        </w:rPr>
        <w:t xml:space="preserve">and </w:t>
      </w:r>
      <w:r w:rsidR="00D73147">
        <w:rPr>
          <w:rFonts w:hint="cs"/>
          <w:sz w:val="28"/>
          <w:szCs w:val="28"/>
          <w:rtl/>
        </w:rPr>
        <w:t>ר"ע</w:t>
      </w:r>
      <w:r w:rsidR="00D73147">
        <w:rPr>
          <w:sz w:val="28"/>
          <w:szCs w:val="28"/>
        </w:rPr>
        <w:t xml:space="preserve"> </w:t>
      </w:r>
      <w:r w:rsidR="00D73147">
        <w:rPr>
          <w:b/>
          <w:bCs/>
          <w:sz w:val="28"/>
          <w:szCs w:val="28"/>
        </w:rPr>
        <w:t xml:space="preserve">should have buried </w:t>
      </w:r>
      <w:r w:rsidR="00D73147" w:rsidRPr="007A4E80">
        <w:rPr>
          <w:sz w:val="28"/>
          <w:szCs w:val="28"/>
        </w:rPr>
        <w:t xml:space="preserve">this </w:t>
      </w:r>
      <w:r w:rsidR="00D73147" w:rsidRPr="007A4E80">
        <w:rPr>
          <w:rFonts w:hint="cs"/>
          <w:sz w:val="28"/>
          <w:szCs w:val="28"/>
          <w:rtl/>
        </w:rPr>
        <w:t>מת מצוה</w:t>
      </w:r>
      <w:r w:rsidR="00D73147" w:rsidRPr="000952C7">
        <w:t xml:space="preserve"> </w:t>
      </w:r>
      <w:r w:rsidR="00D73147">
        <w:rPr>
          <w:b/>
          <w:bCs/>
          <w:sz w:val="28"/>
          <w:szCs w:val="28"/>
        </w:rPr>
        <w:t>in the place where he found him</w:t>
      </w:r>
      <w:r w:rsidR="00D73147">
        <w:rPr>
          <w:b/>
          <w:bCs/>
        </w:rPr>
        <w:t xml:space="preserve">; </w:t>
      </w:r>
      <w:r w:rsidR="00D73147" w:rsidRPr="000952C7">
        <w:t xml:space="preserve">and not transport him four </w:t>
      </w:r>
      <w:r w:rsidR="00D73147" w:rsidRPr="000952C7">
        <w:rPr>
          <w:rFonts w:hint="cs"/>
          <w:rtl/>
        </w:rPr>
        <w:t>מיל</w:t>
      </w:r>
      <w:r w:rsidR="00D73147" w:rsidRPr="000952C7">
        <w:t xml:space="preserve"> to a </w:t>
      </w:r>
      <w:r w:rsidR="00D73147" w:rsidRPr="000952C7">
        <w:rPr>
          <w:rFonts w:hint="cs"/>
          <w:rtl/>
        </w:rPr>
        <w:t>בית הקברות</w:t>
      </w:r>
      <w:r w:rsidR="00D73147" w:rsidRPr="000952C7">
        <w:t xml:space="preserve">. This is what they meant that for every step that you removed him from his proper burial </w:t>
      </w:r>
      <w:r w:rsidR="00997DCA" w:rsidRPr="000952C7">
        <w:t>place</w:t>
      </w:r>
      <w:r w:rsidR="00997DCA">
        <w:t>;</w:t>
      </w:r>
      <w:r w:rsidR="00D73147" w:rsidRPr="000952C7">
        <w:t xml:space="preserve"> it is considered as if you were </w:t>
      </w:r>
      <w:r w:rsidR="00D73147" w:rsidRPr="000952C7">
        <w:rPr>
          <w:rFonts w:hint="cs"/>
          <w:rtl/>
        </w:rPr>
        <w:t>שופך דם נקי</w:t>
      </w:r>
      <w:r>
        <w:t>.</w:t>
      </w:r>
      <w:r w:rsidR="00446E2F">
        <w:rPr>
          <w:rStyle w:val="FootnoteReference"/>
        </w:rPr>
        <w:footnoteReference w:id="7"/>
      </w:r>
    </w:p>
    <w:p w:rsidR="000135B6" w:rsidRPr="000952C7" w:rsidRDefault="000135B6" w:rsidP="005423B7">
      <w:pPr>
        <w:spacing w:line="276" w:lineRule="auto"/>
        <w:jc w:val="both"/>
        <w:rPr>
          <w:rFonts w:hint="cs"/>
          <w:rtl/>
        </w:rPr>
      </w:pPr>
    </w:p>
    <w:p w:rsidR="000135B6" w:rsidRPr="000952C7" w:rsidRDefault="000135B6" w:rsidP="005423B7">
      <w:pPr>
        <w:spacing w:line="276" w:lineRule="auto"/>
        <w:jc w:val="both"/>
        <w:rPr>
          <w:rFonts w:hint="cs"/>
          <w:rtl/>
        </w:rPr>
      </w:pPr>
      <w:r w:rsidRPr="000952C7">
        <w:rPr>
          <w:rFonts w:hint="cs"/>
          <w:rtl/>
        </w:rPr>
        <w:t>תוספות</w:t>
      </w:r>
      <w:r w:rsidRPr="000952C7">
        <w:t xml:space="preserve"> offers an additional proof to the previous interpretation of the story with </w:t>
      </w:r>
      <w:r w:rsidRPr="000952C7">
        <w:rPr>
          <w:rFonts w:hint="cs"/>
          <w:rtl/>
        </w:rPr>
        <w:t>ר"ע</w:t>
      </w:r>
      <w:r w:rsidRPr="000952C7">
        <w:t>:</w:t>
      </w:r>
    </w:p>
    <w:p w:rsidR="007A4E80" w:rsidRPr="00831B49" w:rsidRDefault="000135B6" w:rsidP="00831B49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831B49">
        <w:rPr>
          <w:rFonts w:cs="David" w:hint="cs"/>
          <w:b/>
          <w:bCs/>
          <w:sz w:val="28"/>
          <w:szCs w:val="28"/>
          <w:rtl/>
        </w:rPr>
        <w:t>וכן משמע במסכת שמחות</w:t>
      </w:r>
      <w:r w:rsidR="007A4E80" w:rsidRPr="00831B49">
        <w:rPr>
          <w:rStyle w:val="FootnoteReference"/>
          <w:rFonts w:cs="David"/>
          <w:b/>
          <w:bCs/>
          <w:sz w:val="28"/>
          <w:szCs w:val="28"/>
          <w:rtl/>
        </w:rPr>
        <w:footnoteReference w:id="8"/>
      </w:r>
      <w:r w:rsidRPr="00831B49">
        <w:rPr>
          <w:rFonts w:cs="David" w:hint="cs"/>
          <w:b/>
          <w:bCs/>
          <w:sz w:val="20"/>
          <w:szCs w:val="20"/>
          <w:rtl/>
        </w:rPr>
        <w:t xml:space="preserve"> (פרק ד')</w:t>
      </w:r>
      <w:r w:rsidR="007A4E80" w:rsidRPr="00831B49">
        <w:rPr>
          <w:rFonts w:cs="David" w:hint="cs"/>
          <w:b/>
          <w:bCs/>
          <w:sz w:val="28"/>
          <w:szCs w:val="28"/>
          <w:rtl/>
        </w:rPr>
        <w:t xml:space="preserve"> דקאמר</w:t>
      </w:r>
      <w:r w:rsidR="00831B49">
        <w:rPr>
          <w:rStyle w:val="FootnoteReference"/>
          <w:rFonts w:cs="David"/>
          <w:b/>
          <w:bCs/>
          <w:sz w:val="28"/>
          <w:szCs w:val="28"/>
          <w:rtl/>
        </w:rPr>
        <w:footnoteReference w:id="9"/>
      </w:r>
      <w:r w:rsidR="007A4E80" w:rsidRPr="00831B49">
        <w:rPr>
          <w:rFonts w:cs="David" w:hint="cs"/>
          <w:b/>
          <w:bCs/>
          <w:sz w:val="28"/>
          <w:szCs w:val="28"/>
          <w:rtl/>
        </w:rPr>
        <w:t xml:space="preserve"> מת מצוה קנה מקומו</w:t>
      </w:r>
      <w:r w:rsidRPr="00831B49">
        <w:rPr>
          <w:rFonts w:cs="David"/>
          <w:b/>
          <w:bCs/>
          <w:sz w:val="28"/>
          <w:szCs w:val="28"/>
        </w:rPr>
        <w:t xml:space="preserve"> </w:t>
      </w:r>
      <w:r w:rsidR="00831B49">
        <w:rPr>
          <w:rFonts w:cs="David" w:hint="cs"/>
          <w:b/>
          <w:bCs/>
          <w:sz w:val="28"/>
          <w:szCs w:val="28"/>
          <w:rtl/>
        </w:rPr>
        <w:t>-</w:t>
      </w:r>
      <w:r w:rsidRPr="00831B49">
        <w:rPr>
          <w:rFonts w:cs="David"/>
          <w:b/>
          <w:bCs/>
          <w:sz w:val="28"/>
          <w:szCs w:val="28"/>
        </w:rPr>
        <w:t xml:space="preserve"> </w:t>
      </w:r>
    </w:p>
    <w:p w:rsidR="000135B6" w:rsidRDefault="007A4E80" w:rsidP="007A4E80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0135B6">
        <w:rPr>
          <w:b/>
          <w:bCs/>
          <w:sz w:val="28"/>
          <w:szCs w:val="28"/>
        </w:rPr>
        <w:t xml:space="preserve"> this is also indicated</w:t>
      </w:r>
      <w:r w:rsidR="000135B6">
        <w:rPr>
          <w:sz w:val="28"/>
          <w:szCs w:val="28"/>
        </w:rPr>
        <w:t xml:space="preserve"> in </w:t>
      </w:r>
      <w:r w:rsidR="000135B6">
        <w:rPr>
          <w:rFonts w:hint="cs"/>
          <w:b/>
          <w:bCs/>
          <w:sz w:val="28"/>
          <w:szCs w:val="28"/>
          <w:rtl/>
        </w:rPr>
        <w:t>מסכת שמחות</w:t>
      </w:r>
      <w:r>
        <w:rPr>
          <w:b/>
          <w:bCs/>
          <w:sz w:val="28"/>
          <w:szCs w:val="28"/>
        </w:rPr>
        <w:t xml:space="preserve"> </w:t>
      </w:r>
      <w:r w:rsidR="000135B6">
        <w:rPr>
          <w:b/>
          <w:bCs/>
          <w:sz w:val="28"/>
          <w:szCs w:val="28"/>
        </w:rPr>
        <w:t xml:space="preserve">where it is stated that a </w:t>
      </w:r>
      <w:r w:rsidR="000135B6">
        <w:rPr>
          <w:rFonts w:hint="cs"/>
          <w:b/>
          <w:bCs/>
          <w:sz w:val="28"/>
          <w:szCs w:val="28"/>
          <w:rtl/>
        </w:rPr>
        <w:t>מת מצוה</w:t>
      </w:r>
      <w:r w:rsidR="000135B6">
        <w:rPr>
          <w:b/>
          <w:bCs/>
          <w:sz w:val="28"/>
          <w:szCs w:val="28"/>
        </w:rPr>
        <w:t xml:space="preserve"> acquired his place</w:t>
      </w:r>
      <w:r w:rsidR="003328BE">
        <w:rPr>
          <w:sz w:val="28"/>
          <w:szCs w:val="28"/>
        </w:rPr>
        <w:t xml:space="preserve"> </w:t>
      </w:r>
      <w:r w:rsidR="000135B6">
        <w:rPr>
          <w:sz w:val="28"/>
          <w:szCs w:val="28"/>
        </w:rPr>
        <w:t>–</w:t>
      </w:r>
      <w:r w:rsidR="003328BE">
        <w:rPr>
          <w:sz w:val="28"/>
          <w:szCs w:val="28"/>
        </w:rPr>
        <w:t xml:space="preserve"> </w:t>
      </w:r>
    </w:p>
    <w:p w:rsidR="007A4E80" w:rsidRPr="00831B49" w:rsidRDefault="000135B6" w:rsidP="00831B49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831B49">
        <w:rPr>
          <w:rFonts w:cs="David" w:hint="cs"/>
          <w:b/>
          <w:bCs/>
          <w:sz w:val="28"/>
          <w:szCs w:val="28"/>
          <w:rtl/>
        </w:rPr>
        <w:t>והעובר על דברי חכמים</w:t>
      </w:r>
      <w:r w:rsidR="007A4E80" w:rsidRPr="00831B49">
        <w:rPr>
          <w:rFonts w:cs="David" w:hint="cs"/>
          <w:b/>
          <w:bCs/>
          <w:sz w:val="28"/>
          <w:szCs w:val="28"/>
          <w:rtl/>
        </w:rPr>
        <w:t xml:space="preserve"> מחוייב מיתה</w:t>
      </w:r>
      <w:r w:rsidR="00831B49">
        <w:rPr>
          <w:rStyle w:val="FootnoteReference"/>
          <w:rFonts w:cs="David"/>
          <w:b/>
          <w:bCs/>
          <w:sz w:val="28"/>
          <w:szCs w:val="28"/>
          <w:rtl/>
        </w:rPr>
        <w:footnoteReference w:id="10"/>
      </w:r>
      <w:r w:rsidR="007A4E80" w:rsidRPr="00831B49">
        <w:rPr>
          <w:rFonts w:cs="David" w:hint="cs"/>
          <w:b/>
          <w:bCs/>
          <w:sz w:val="28"/>
          <w:szCs w:val="28"/>
          <w:rtl/>
        </w:rPr>
        <w:t xml:space="preserve"> וכן אמר רבי עקיבא תחלת תשמישי כולי</w:t>
      </w:r>
      <w:r w:rsidRPr="00831B49">
        <w:rPr>
          <w:rFonts w:cs="David"/>
          <w:b/>
          <w:bCs/>
          <w:sz w:val="28"/>
          <w:szCs w:val="28"/>
        </w:rPr>
        <w:t xml:space="preserve"> </w:t>
      </w:r>
      <w:r w:rsidR="00831B49">
        <w:rPr>
          <w:rFonts w:cs="David" w:hint="cs"/>
          <w:b/>
          <w:bCs/>
          <w:sz w:val="28"/>
          <w:szCs w:val="28"/>
          <w:rtl/>
        </w:rPr>
        <w:t>-</w:t>
      </w:r>
      <w:r w:rsidRPr="00831B49">
        <w:rPr>
          <w:b/>
          <w:bCs/>
          <w:sz w:val="28"/>
          <w:szCs w:val="28"/>
        </w:rPr>
        <w:t xml:space="preserve"> </w:t>
      </w:r>
    </w:p>
    <w:p w:rsidR="000135B6" w:rsidRPr="000952C7" w:rsidRDefault="007A4E80" w:rsidP="007A4E80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0135B6">
        <w:rPr>
          <w:b/>
          <w:bCs/>
          <w:sz w:val="28"/>
          <w:szCs w:val="28"/>
        </w:rPr>
        <w:t xml:space="preserve"> he who transgresses the words of the sages </w:t>
      </w:r>
      <w:r w:rsidR="00DB4AB2" w:rsidRPr="007A4E80">
        <w:rPr>
          <w:sz w:val="28"/>
          <w:szCs w:val="28"/>
        </w:rPr>
        <w:t>(</w:t>
      </w:r>
      <w:r w:rsidR="00F87647" w:rsidRPr="007A4E80">
        <w:rPr>
          <w:rFonts w:hint="cs"/>
          <w:sz w:val="28"/>
          <w:szCs w:val="28"/>
          <w:rtl/>
        </w:rPr>
        <w:t>יה</w:t>
      </w:r>
      <w:r w:rsidR="000952C7" w:rsidRPr="007A4E80">
        <w:rPr>
          <w:rFonts w:hint="cs"/>
          <w:sz w:val="28"/>
          <w:szCs w:val="28"/>
          <w:rtl/>
        </w:rPr>
        <w:t>ו</w:t>
      </w:r>
      <w:r w:rsidR="00F87647" w:rsidRPr="007A4E80">
        <w:rPr>
          <w:rFonts w:hint="cs"/>
          <w:sz w:val="28"/>
          <w:szCs w:val="28"/>
          <w:rtl/>
        </w:rPr>
        <w:t>שע בן נון</w:t>
      </w:r>
      <w:r w:rsidR="00F87647" w:rsidRPr="007A4E80">
        <w:rPr>
          <w:sz w:val="28"/>
          <w:szCs w:val="28"/>
        </w:rPr>
        <w:t xml:space="preserve">, </w:t>
      </w:r>
      <w:r w:rsidR="00DB4AB2" w:rsidRPr="007A4E80">
        <w:rPr>
          <w:sz w:val="28"/>
          <w:szCs w:val="28"/>
        </w:rPr>
        <w:t xml:space="preserve">who instituted this right for the </w:t>
      </w:r>
      <w:r w:rsidR="00DB4AB2" w:rsidRPr="007A4E80">
        <w:rPr>
          <w:rFonts w:hint="cs"/>
          <w:sz w:val="28"/>
          <w:szCs w:val="28"/>
          <w:rtl/>
        </w:rPr>
        <w:t>מת מצוה</w:t>
      </w:r>
      <w:r w:rsidR="00DB4AB2" w:rsidRPr="007A4E80">
        <w:rPr>
          <w:sz w:val="28"/>
          <w:szCs w:val="28"/>
        </w:rPr>
        <w:t xml:space="preserve">) </w:t>
      </w:r>
      <w:r w:rsidR="000135B6">
        <w:rPr>
          <w:b/>
          <w:bCs/>
          <w:sz w:val="28"/>
          <w:szCs w:val="28"/>
        </w:rPr>
        <w:t xml:space="preserve">is liable </w:t>
      </w:r>
      <w:r w:rsidR="000135B6">
        <w:rPr>
          <w:sz w:val="28"/>
          <w:szCs w:val="28"/>
        </w:rPr>
        <w:t xml:space="preserve">for the </w:t>
      </w:r>
      <w:r w:rsidR="000135B6">
        <w:rPr>
          <w:b/>
          <w:bCs/>
          <w:sz w:val="28"/>
          <w:szCs w:val="28"/>
        </w:rPr>
        <w:t xml:space="preserve">death </w:t>
      </w:r>
      <w:r w:rsidR="000135B6" w:rsidRPr="002778AC">
        <w:rPr>
          <w:sz w:val="28"/>
          <w:szCs w:val="28"/>
        </w:rPr>
        <w:t xml:space="preserve">penalty. </w:t>
      </w:r>
      <w:r w:rsidR="00F87647" w:rsidRPr="002778AC">
        <w:rPr>
          <w:sz w:val="28"/>
          <w:szCs w:val="28"/>
        </w:rPr>
        <w:t xml:space="preserve">The </w:t>
      </w:r>
      <w:r w:rsidR="00F87647" w:rsidRPr="002778AC">
        <w:rPr>
          <w:rFonts w:hint="cs"/>
          <w:sz w:val="28"/>
          <w:szCs w:val="28"/>
          <w:rtl/>
        </w:rPr>
        <w:t>פרק</w:t>
      </w:r>
      <w:r w:rsidR="00F87647" w:rsidRPr="002778AC">
        <w:rPr>
          <w:sz w:val="28"/>
          <w:szCs w:val="28"/>
        </w:rPr>
        <w:t xml:space="preserve"> there concludes</w:t>
      </w:r>
      <w:r w:rsidRPr="002778AC">
        <w:rPr>
          <w:sz w:val="28"/>
          <w:szCs w:val="28"/>
        </w:rPr>
        <w:t>:</w:t>
      </w:r>
      <w:r w:rsidR="00F87647" w:rsidRPr="002778AC">
        <w:rPr>
          <w:rStyle w:val="FootnoteReference"/>
          <w:sz w:val="28"/>
          <w:szCs w:val="28"/>
        </w:rPr>
        <w:footnoteReference w:id="11"/>
      </w:r>
      <w:r w:rsidRPr="002778AC">
        <w:rPr>
          <w:sz w:val="28"/>
          <w:szCs w:val="28"/>
        </w:rPr>
        <w:t xml:space="preserve"> </w:t>
      </w:r>
      <w:r w:rsidR="000135B6">
        <w:rPr>
          <w:b/>
          <w:bCs/>
          <w:sz w:val="28"/>
          <w:szCs w:val="28"/>
        </w:rPr>
        <w:t xml:space="preserve">and so too said </w:t>
      </w:r>
      <w:r w:rsidR="000135B6">
        <w:rPr>
          <w:rFonts w:hint="cs"/>
          <w:b/>
          <w:bCs/>
          <w:sz w:val="28"/>
          <w:szCs w:val="28"/>
          <w:rtl/>
        </w:rPr>
        <w:t>ר"ע</w:t>
      </w:r>
      <w:r w:rsidR="00CA6493">
        <w:rPr>
          <w:b/>
          <w:bCs/>
          <w:sz w:val="28"/>
          <w:szCs w:val="28"/>
        </w:rPr>
        <w:t>;</w:t>
      </w:r>
      <w:r w:rsidR="000135B6">
        <w:rPr>
          <w:b/>
          <w:bCs/>
          <w:sz w:val="28"/>
          <w:szCs w:val="28"/>
        </w:rPr>
        <w:t xml:space="preserve"> the beginning of</w:t>
      </w:r>
      <w:r w:rsidR="00DB4AB2">
        <w:rPr>
          <w:b/>
          <w:bCs/>
          <w:sz w:val="28"/>
          <w:szCs w:val="28"/>
        </w:rPr>
        <w:t xml:space="preserve"> </w:t>
      </w:r>
      <w:r w:rsidR="000135B6">
        <w:rPr>
          <w:b/>
          <w:bCs/>
          <w:sz w:val="28"/>
          <w:szCs w:val="28"/>
        </w:rPr>
        <w:t xml:space="preserve">my training, etc. </w:t>
      </w:r>
      <w:r w:rsidR="000135B6" w:rsidRPr="000952C7">
        <w:t xml:space="preserve">It then </w:t>
      </w:r>
      <w:r w:rsidR="00DB4AB2" w:rsidRPr="000952C7">
        <w:t xml:space="preserve">cites the entire previous story. </w:t>
      </w:r>
      <w:r w:rsidR="00F87647" w:rsidRPr="000952C7">
        <w:t xml:space="preserve">Since the story of </w:t>
      </w:r>
      <w:r w:rsidR="00F87647" w:rsidRPr="000952C7">
        <w:rPr>
          <w:rFonts w:hint="cs"/>
          <w:rtl/>
        </w:rPr>
        <w:t>ר"ע</w:t>
      </w:r>
      <w:r w:rsidR="00F87647" w:rsidRPr="000952C7">
        <w:t xml:space="preserve"> follows the </w:t>
      </w:r>
      <w:r w:rsidR="00F87647" w:rsidRPr="000952C7">
        <w:rPr>
          <w:rFonts w:hint="cs"/>
          <w:rtl/>
        </w:rPr>
        <w:t>הלכות</w:t>
      </w:r>
      <w:r w:rsidR="00F87647" w:rsidRPr="000952C7">
        <w:t xml:space="preserve"> of </w:t>
      </w:r>
      <w:r w:rsidR="00F87647" w:rsidRPr="000952C7">
        <w:rPr>
          <w:rFonts w:hint="cs"/>
          <w:rtl/>
        </w:rPr>
        <w:t>מת מצוה</w:t>
      </w:r>
      <w:r w:rsidR="00F87647" w:rsidRPr="000952C7">
        <w:t xml:space="preserve"> i</w:t>
      </w:r>
      <w:r w:rsidR="00DB4AB2" w:rsidRPr="000952C7">
        <w:t xml:space="preserve">t is evident that the story is cited to prove the </w:t>
      </w:r>
      <w:r w:rsidR="00F87647" w:rsidRPr="000952C7">
        <w:rPr>
          <w:rFonts w:hint="cs"/>
          <w:rtl/>
        </w:rPr>
        <w:t>הלכות</w:t>
      </w:r>
      <w:r w:rsidR="00F87647" w:rsidRPr="000952C7">
        <w:t xml:space="preserve"> of </w:t>
      </w:r>
      <w:r w:rsidR="00F87647" w:rsidRPr="000952C7">
        <w:rPr>
          <w:rFonts w:hint="cs"/>
          <w:rtl/>
        </w:rPr>
        <w:t>מת מצוה</w:t>
      </w:r>
      <w:r w:rsidR="00DB4AB2" w:rsidRPr="000952C7">
        <w:t xml:space="preserve">. One; that a </w:t>
      </w:r>
      <w:r w:rsidR="00DB4AB2" w:rsidRPr="000952C7">
        <w:rPr>
          <w:rFonts w:hint="cs"/>
          <w:rtl/>
        </w:rPr>
        <w:t>מת מצוה</w:t>
      </w:r>
      <w:r w:rsidR="00DB4AB2" w:rsidRPr="000952C7">
        <w:t xml:space="preserve"> is </w:t>
      </w:r>
      <w:r w:rsidR="00DB4AB2" w:rsidRPr="000952C7">
        <w:rPr>
          <w:rFonts w:hint="cs"/>
          <w:rtl/>
        </w:rPr>
        <w:t>קונה מקומו</w:t>
      </w:r>
      <w:r w:rsidR="00DB4AB2" w:rsidRPr="000952C7">
        <w:t xml:space="preserve">; and should be buried where he was found. In addition, if one does not fulfill this, he is </w:t>
      </w:r>
      <w:r w:rsidR="00DB4AB2" w:rsidRPr="000952C7">
        <w:rPr>
          <w:rFonts w:hint="cs"/>
          <w:rtl/>
        </w:rPr>
        <w:t>מחוייב מיתה</w:t>
      </w:r>
      <w:r w:rsidR="00DB4AB2" w:rsidRPr="000952C7">
        <w:t xml:space="preserve">. Both these points are brought out in the story of </w:t>
      </w:r>
      <w:r w:rsidR="00DB4AB2" w:rsidRPr="000952C7">
        <w:rPr>
          <w:rFonts w:hint="cs"/>
          <w:rtl/>
        </w:rPr>
        <w:t>ר"ע</w:t>
      </w:r>
      <w:r w:rsidR="00DB4AB2" w:rsidRPr="000952C7">
        <w:t xml:space="preserve"> as explained in </w:t>
      </w:r>
      <w:r w:rsidR="00DB4AB2" w:rsidRPr="000952C7">
        <w:rPr>
          <w:rFonts w:hint="cs"/>
          <w:rtl/>
        </w:rPr>
        <w:t>תוספות</w:t>
      </w:r>
      <w:r w:rsidR="00DB4AB2" w:rsidRPr="000952C7">
        <w:t xml:space="preserve"> answer.</w:t>
      </w:r>
      <w:r w:rsidR="00F87647" w:rsidRPr="000952C7">
        <w:t xml:space="preserve"> If however s</w:t>
      </w:r>
      <w:r w:rsidR="00F87647" w:rsidRPr="000952C7">
        <w:rPr>
          <w:rFonts w:hint="cs"/>
          <w:rtl/>
        </w:rPr>
        <w:t>ר"ע'</w:t>
      </w:r>
      <w:r w:rsidR="00F87647" w:rsidRPr="000952C7">
        <w:t xml:space="preserve"> wrongdoing was on account of </w:t>
      </w:r>
      <w:r w:rsidR="00F87647" w:rsidRPr="000952C7">
        <w:rPr>
          <w:rFonts w:hint="cs"/>
          <w:rtl/>
        </w:rPr>
        <w:t>ביטול תורה</w:t>
      </w:r>
      <w:r w:rsidR="00F87647" w:rsidRPr="000952C7">
        <w:t xml:space="preserve"> it would not have been cited in </w:t>
      </w:r>
      <w:r w:rsidR="00F87647" w:rsidRPr="000952C7">
        <w:rPr>
          <w:rFonts w:hint="cs"/>
          <w:rtl/>
        </w:rPr>
        <w:t>מסכת שמחות</w:t>
      </w:r>
      <w:r w:rsidR="00F87647" w:rsidRPr="000952C7">
        <w:t xml:space="preserve"> (in conjunction with the laws of a </w:t>
      </w:r>
      <w:r w:rsidR="00F87647" w:rsidRPr="000952C7">
        <w:rPr>
          <w:rFonts w:hint="cs"/>
          <w:rtl/>
        </w:rPr>
        <w:t>מת מצוה</w:t>
      </w:r>
      <w:r w:rsidR="00F87647" w:rsidRPr="000952C7">
        <w:t>).</w:t>
      </w:r>
    </w:p>
    <w:p w:rsidR="00CA6493" w:rsidRPr="000952C7" w:rsidRDefault="00CA6493" w:rsidP="00831B49">
      <w:pPr>
        <w:widowControl w:val="0"/>
        <w:spacing w:line="276" w:lineRule="auto"/>
        <w:jc w:val="both"/>
      </w:pPr>
      <w:r w:rsidRPr="000952C7">
        <w:rPr>
          <w:rFonts w:hint="cs"/>
          <w:rtl/>
        </w:rPr>
        <w:lastRenderedPageBreak/>
        <w:t>תוספות</w:t>
      </w:r>
      <w:r w:rsidRPr="000952C7">
        <w:t xml:space="preserve"> offers a different resolution to his original question:</w:t>
      </w:r>
    </w:p>
    <w:p w:rsidR="007A4E80" w:rsidRPr="00831B49" w:rsidRDefault="00CA6493" w:rsidP="00831B49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831B49">
        <w:rPr>
          <w:rFonts w:cs="David" w:hint="cs"/>
          <w:b/>
          <w:bCs/>
          <w:sz w:val="28"/>
          <w:szCs w:val="28"/>
          <w:rtl/>
        </w:rPr>
        <w:t>והרב רבי יהודה מקורבי"ל תירץ</w:t>
      </w:r>
      <w:r w:rsidRPr="00831B49">
        <w:rPr>
          <w:rFonts w:cs="David"/>
          <w:b/>
          <w:bCs/>
          <w:sz w:val="28"/>
          <w:szCs w:val="28"/>
        </w:rPr>
        <w:t xml:space="preserve"> </w:t>
      </w:r>
      <w:r w:rsidR="00831B49">
        <w:rPr>
          <w:rFonts w:cs="David" w:hint="cs"/>
          <w:b/>
          <w:bCs/>
          <w:sz w:val="28"/>
          <w:szCs w:val="28"/>
          <w:rtl/>
        </w:rPr>
        <w:t>-</w:t>
      </w:r>
      <w:r w:rsidRPr="00831B49">
        <w:rPr>
          <w:rFonts w:cs="David"/>
          <w:b/>
          <w:bCs/>
          <w:sz w:val="28"/>
          <w:szCs w:val="28"/>
        </w:rPr>
        <w:t xml:space="preserve"> </w:t>
      </w:r>
    </w:p>
    <w:p w:rsidR="00CA6493" w:rsidRPr="000952C7" w:rsidRDefault="00831B49" w:rsidP="005423B7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CA6493">
        <w:rPr>
          <w:b/>
          <w:bCs/>
          <w:sz w:val="28"/>
          <w:szCs w:val="28"/>
        </w:rPr>
        <w:t xml:space="preserve"> the </w:t>
      </w:r>
      <w:r w:rsidR="00CA6493">
        <w:rPr>
          <w:rFonts w:hint="cs"/>
          <w:b/>
          <w:bCs/>
          <w:sz w:val="28"/>
          <w:szCs w:val="28"/>
          <w:rtl/>
        </w:rPr>
        <w:t>ר"י מקורבי"ל</w:t>
      </w:r>
      <w:r w:rsidR="00CA6493">
        <w:rPr>
          <w:b/>
          <w:bCs/>
          <w:sz w:val="28"/>
          <w:szCs w:val="28"/>
        </w:rPr>
        <w:t xml:space="preserve"> answered</w:t>
      </w:r>
      <w:r w:rsidR="00CA6493">
        <w:rPr>
          <w:sz w:val="28"/>
          <w:szCs w:val="28"/>
        </w:rPr>
        <w:t xml:space="preserve"> </w:t>
      </w:r>
      <w:r w:rsidR="00CA6493" w:rsidRPr="000952C7">
        <w:t xml:space="preserve">that there is no contradiction between our </w:t>
      </w:r>
      <w:r w:rsidR="00CA6493" w:rsidRPr="000952C7">
        <w:rPr>
          <w:rFonts w:hint="cs"/>
          <w:rtl/>
        </w:rPr>
        <w:t>גמרא</w:t>
      </w:r>
      <w:r w:rsidR="00CA6493" w:rsidRPr="000952C7">
        <w:t xml:space="preserve"> which requires </w:t>
      </w:r>
      <w:r w:rsidR="00CA6493" w:rsidRPr="000952C7">
        <w:rPr>
          <w:rFonts w:hint="cs"/>
          <w:rtl/>
        </w:rPr>
        <w:t>ביטול תורה</w:t>
      </w:r>
      <w:r w:rsidR="00CA6493" w:rsidRPr="000952C7">
        <w:t xml:space="preserve"> for </w:t>
      </w:r>
      <w:r w:rsidRPr="000952C7">
        <w:rPr>
          <w:rFonts w:hint="cs"/>
          <w:rtl/>
        </w:rPr>
        <w:t>הוצאת המת</w:t>
      </w:r>
      <w:r w:rsidR="00CA6493" w:rsidRPr="000952C7">
        <w:t xml:space="preserve">, and the admonishment of </w:t>
      </w:r>
      <w:r w:rsidR="00CA6493" w:rsidRPr="000952C7">
        <w:rPr>
          <w:rFonts w:hint="cs"/>
          <w:rtl/>
        </w:rPr>
        <w:t>ר"ע</w:t>
      </w:r>
      <w:r w:rsidR="00CA6493" w:rsidRPr="000952C7">
        <w:t xml:space="preserve"> for his tarrying with the </w:t>
      </w:r>
      <w:r w:rsidR="00CA6493" w:rsidRPr="000952C7">
        <w:rPr>
          <w:rFonts w:hint="cs"/>
          <w:rtl/>
        </w:rPr>
        <w:t>מת מצוה</w:t>
      </w:r>
      <w:r w:rsidR="00CA6493" w:rsidRPr="000952C7">
        <w:t xml:space="preserve"> –</w:t>
      </w:r>
    </w:p>
    <w:p w:rsidR="007A4E80" w:rsidRPr="00831B49" w:rsidRDefault="00CA6493" w:rsidP="007A4E80">
      <w:pPr>
        <w:bidi/>
        <w:spacing w:line="276" w:lineRule="auto"/>
        <w:jc w:val="both"/>
        <w:rPr>
          <w:rFonts w:cs="David"/>
          <w:b/>
          <w:bCs/>
          <w:spacing w:val="-6"/>
          <w:sz w:val="28"/>
          <w:szCs w:val="28"/>
        </w:rPr>
      </w:pPr>
      <w:r w:rsidRPr="00831B49">
        <w:rPr>
          <w:rFonts w:cs="David" w:hint="cs"/>
          <w:b/>
          <w:bCs/>
          <w:spacing w:val="-6"/>
          <w:sz w:val="28"/>
          <w:szCs w:val="28"/>
          <w:rtl/>
        </w:rPr>
        <w:t>דהתם משום דביטל עצמו</w:t>
      </w:r>
      <w:r w:rsidR="007A4E80" w:rsidRPr="00831B49">
        <w:rPr>
          <w:rFonts w:cs="David" w:hint="cs"/>
          <w:b/>
          <w:bCs/>
          <w:spacing w:val="-6"/>
          <w:sz w:val="28"/>
          <w:szCs w:val="28"/>
          <w:rtl/>
        </w:rPr>
        <w:t xml:space="preserve"> משימוש תלמידי חכמים קאמר דגדול שימושה יותר מלימודה</w:t>
      </w:r>
      <w:r w:rsidR="00F26261" w:rsidRPr="00831B49">
        <w:rPr>
          <w:rFonts w:cs="David" w:hint="cs"/>
          <w:b/>
          <w:bCs/>
          <w:spacing w:val="-6"/>
          <w:sz w:val="28"/>
          <w:szCs w:val="28"/>
          <w:rtl/>
        </w:rPr>
        <w:t>:</w:t>
      </w:r>
      <w:r w:rsidRPr="00831B49">
        <w:rPr>
          <w:rFonts w:cs="David"/>
          <w:b/>
          <w:bCs/>
          <w:spacing w:val="-6"/>
          <w:sz w:val="28"/>
          <w:szCs w:val="28"/>
        </w:rPr>
        <w:t xml:space="preserve"> </w:t>
      </w:r>
    </w:p>
    <w:p w:rsidR="0005240D" w:rsidRDefault="007A4E80" w:rsidP="007A4E80">
      <w:pPr>
        <w:spacing w:line="276" w:lineRule="auto"/>
        <w:jc w:val="both"/>
      </w:pPr>
      <w:r>
        <w:rPr>
          <w:b/>
          <w:bCs/>
          <w:sz w:val="28"/>
          <w:szCs w:val="28"/>
        </w:rPr>
        <w:t>For</w:t>
      </w:r>
      <w:r w:rsidR="00CA6493">
        <w:rPr>
          <w:b/>
          <w:bCs/>
          <w:sz w:val="28"/>
          <w:szCs w:val="28"/>
        </w:rPr>
        <w:t xml:space="preserve"> there </w:t>
      </w:r>
      <w:r w:rsidR="00CA6493">
        <w:rPr>
          <w:sz w:val="28"/>
          <w:szCs w:val="28"/>
        </w:rPr>
        <w:t xml:space="preserve">the reason he was admonished was </w:t>
      </w:r>
      <w:r w:rsidR="00CA6493">
        <w:rPr>
          <w:b/>
          <w:bCs/>
          <w:sz w:val="28"/>
          <w:szCs w:val="28"/>
        </w:rPr>
        <w:t xml:space="preserve">because he </w:t>
      </w:r>
      <w:r w:rsidR="0005240D">
        <w:rPr>
          <w:b/>
          <w:bCs/>
          <w:sz w:val="28"/>
          <w:szCs w:val="28"/>
        </w:rPr>
        <w:t>hinder</w:t>
      </w:r>
      <w:r w:rsidR="00CA6493">
        <w:rPr>
          <w:b/>
          <w:bCs/>
          <w:sz w:val="28"/>
          <w:szCs w:val="28"/>
        </w:rPr>
        <w:t xml:space="preserve">ed </w:t>
      </w:r>
      <w:r w:rsidR="00831B49" w:rsidRPr="0005240D">
        <w:rPr>
          <w:b/>
          <w:bCs/>
          <w:sz w:val="28"/>
          <w:szCs w:val="28"/>
        </w:rPr>
        <w:t xml:space="preserve">himself </w:t>
      </w:r>
      <w:r w:rsidR="00831B49">
        <w:rPr>
          <w:b/>
          <w:bCs/>
          <w:sz w:val="28"/>
          <w:szCs w:val="28"/>
        </w:rPr>
        <w:t>from</w:t>
      </w:r>
      <w:r w:rsidR="0005240D">
        <w:rPr>
          <w:b/>
          <w:bCs/>
          <w:sz w:val="28"/>
          <w:szCs w:val="28"/>
        </w:rPr>
        <w:t xml:space="preserve"> serving </w:t>
      </w:r>
      <w:r w:rsidR="0005240D">
        <w:rPr>
          <w:rFonts w:hint="cs"/>
          <w:b/>
          <w:bCs/>
          <w:sz w:val="28"/>
          <w:szCs w:val="28"/>
          <w:rtl/>
        </w:rPr>
        <w:t>ת"ח</w:t>
      </w:r>
      <w:r w:rsidR="0005240D">
        <w:rPr>
          <w:b/>
          <w:bCs/>
          <w:sz w:val="28"/>
          <w:szCs w:val="28"/>
        </w:rPr>
        <w:t xml:space="preserve">; that is what they meant </w:t>
      </w:r>
      <w:r w:rsidR="00997DCA">
        <w:rPr>
          <w:sz w:val="28"/>
          <w:szCs w:val="28"/>
        </w:rPr>
        <w:t>when they admonished him</w:t>
      </w:r>
      <w:r w:rsidR="00831B49">
        <w:rPr>
          <w:sz w:val="28"/>
          <w:szCs w:val="28"/>
        </w:rPr>
        <w:t>,</w:t>
      </w:r>
      <w:r w:rsidR="00997DCA">
        <w:rPr>
          <w:sz w:val="28"/>
          <w:szCs w:val="28"/>
        </w:rPr>
        <w:t xml:space="preserve"> </w:t>
      </w:r>
      <w:r w:rsidR="0005240D">
        <w:rPr>
          <w:b/>
          <w:bCs/>
          <w:sz w:val="28"/>
          <w:szCs w:val="28"/>
        </w:rPr>
        <w:t xml:space="preserve">for serving </w:t>
      </w:r>
      <w:r w:rsidR="0005240D">
        <w:rPr>
          <w:sz w:val="28"/>
          <w:szCs w:val="28"/>
        </w:rPr>
        <w:t xml:space="preserve">the </w:t>
      </w:r>
      <w:r w:rsidR="0005240D">
        <w:rPr>
          <w:rFonts w:hint="cs"/>
          <w:sz w:val="28"/>
          <w:szCs w:val="28"/>
          <w:rtl/>
        </w:rPr>
        <w:t>ת"ח</w:t>
      </w:r>
      <w:r w:rsidR="0005240D">
        <w:rPr>
          <w:sz w:val="28"/>
          <w:szCs w:val="28"/>
        </w:rPr>
        <w:t xml:space="preserve"> </w:t>
      </w:r>
      <w:r w:rsidR="0005240D">
        <w:rPr>
          <w:b/>
          <w:bCs/>
          <w:sz w:val="28"/>
          <w:szCs w:val="28"/>
        </w:rPr>
        <w:t>is greater tha</w:t>
      </w:r>
      <w:r w:rsidR="000952C7">
        <w:rPr>
          <w:b/>
          <w:bCs/>
          <w:sz w:val="28"/>
          <w:szCs w:val="28"/>
        </w:rPr>
        <w:t>n</w:t>
      </w:r>
      <w:r w:rsidR="0005240D">
        <w:rPr>
          <w:b/>
          <w:bCs/>
          <w:sz w:val="28"/>
          <w:szCs w:val="28"/>
        </w:rPr>
        <w:t xml:space="preserve"> learning </w:t>
      </w:r>
      <w:r w:rsidR="0005240D" w:rsidRPr="000952C7">
        <w:t xml:space="preserve">the </w:t>
      </w:r>
      <w:r w:rsidR="0005240D" w:rsidRPr="000952C7">
        <w:rPr>
          <w:rFonts w:hint="cs"/>
          <w:rtl/>
        </w:rPr>
        <w:t>תורה</w:t>
      </w:r>
      <w:r>
        <w:t>.</w:t>
      </w:r>
      <w:r w:rsidR="0005240D" w:rsidRPr="000952C7">
        <w:rPr>
          <w:rStyle w:val="FootnoteReference"/>
        </w:rPr>
        <w:footnoteReference w:id="12"/>
      </w:r>
      <w:r w:rsidR="004A46A8">
        <w:t xml:space="preserve"> Therefore even though we are </w:t>
      </w:r>
      <w:r w:rsidR="004A46A8">
        <w:rPr>
          <w:rFonts w:hint="cs"/>
          <w:rtl/>
        </w:rPr>
        <w:t>מבטל לימוד התורה</w:t>
      </w:r>
      <w:r w:rsidR="004A46A8">
        <w:t xml:space="preserve"> on account of </w:t>
      </w:r>
      <w:r w:rsidR="004A46A8">
        <w:rPr>
          <w:rFonts w:hint="cs"/>
          <w:rtl/>
        </w:rPr>
        <w:t>הוצאת המת</w:t>
      </w:r>
      <w:r w:rsidR="004A46A8">
        <w:t xml:space="preserve">; however </w:t>
      </w:r>
      <w:r w:rsidR="004A46A8">
        <w:rPr>
          <w:rFonts w:hint="cs"/>
          <w:rtl/>
        </w:rPr>
        <w:t>שימוש ת"ח</w:t>
      </w:r>
      <w:r w:rsidR="004A46A8">
        <w:t xml:space="preserve"> takes priority even over a </w:t>
      </w:r>
      <w:r w:rsidR="004A46A8">
        <w:rPr>
          <w:rFonts w:hint="cs"/>
          <w:rtl/>
        </w:rPr>
        <w:t>מת מצוה</w:t>
      </w:r>
      <w:r w:rsidR="004A46A8">
        <w:t>.</w:t>
      </w:r>
    </w:p>
    <w:p w:rsidR="009B1738" w:rsidRDefault="009B1738" w:rsidP="005423B7">
      <w:pPr>
        <w:spacing w:line="276" w:lineRule="auto"/>
        <w:jc w:val="both"/>
      </w:pPr>
    </w:p>
    <w:p w:rsidR="009B1738" w:rsidRPr="00F26261" w:rsidRDefault="009B1738" w:rsidP="005423B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26261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9B1738" w:rsidRDefault="009B1738" w:rsidP="005423B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cs"/>
          <w:sz w:val="28"/>
          <w:szCs w:val="28"/>
          <w:rtl/>
        </w:rPr>
        <w:t>מת מצוה</w:t>
      </w:r>
      <w:r>
        <w:rPr>
          <w:sz w:val="28"/>
          <w:szCs w:val="28"/>
        </w:rPr>
        <w:t xml:space="preserve"> is to be buried in the place where he is found. If one moves him, every step taken away from his original resting place is considered </w:t>
      </w:r>
      <w:r>
        <w:rPr>
          <w:rFonts w:hint="cs"/>
          <w:sz w:val="28"/>
          <w:szCs w:val="28"/>
          <w:rtl/>
        </w:rPr>
        <w:t>שפיכת דם נקי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ר"י מקורבי"ל</w:t>
      </w:r>
      <w:r>
        <w:rPr>
          <w:sz w:val="28"/>
          <w:szCs w:val="28"/>
        </w:rPr>
        <w:t xml:space="preserve"> maintains that for laxity in </w:t>
      </w:r>
      <w:r>
        <w:rPr>
          <w:rFonts w:hint="cs"/>
          <w:sz w:val="28"/>
          <w:szCs w:val="28"/>
          <w:rtl/>
        </w:rPr>
        <w:t>שימוש ת"ח</w:t>
      </w:r>
      <w:r>
        <w:rPr>
          <w:sz w:val="28"/>
          <w:szCs w:val="28"/>
        </w:rPr>
        <w:t xml:space="preserve"> one is </w:t>
      </w:r>
      <w:r>
        <w:rPr>
          <w:rFonts w:hint="cs"/>
          <w:sz w:val="28"/>
          <w:szCs w:val="28"/>
          <w:rtl/>
        </w:rPr>
        <w:t>מחוייב מיתה</w:t>
      </w:r>
      <w:r>
        <w:rPr>
          <w:sz w:val="28"/>
          <w:szCs w:val="28"/>
        </w:rPr>
        <w:t>.</w:t>
      </w:r>
    </w:p>
    <w:p w:rsidR="009B1738" w:rsidRPr="009B1738" w:rsidRDefault="009B1738" w:rsidP="005423B7">
      <w:pPr>
        <w:spacing w:line="276" w:lineRule="auto"/>
        <w:jc w:val="both"/>
      </w:pPr>
    </w:p>
    <w:p w:rsidR="009B1738" w:rsidRPr="00F26261" w:rsidRDefault="009B1738" w:rsidP="005423B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26261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9B1738" w:rsidRDefault="0090762A" w:rsidP="005423B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B1738">
        <w:rPr>
          <w:sz w:val="28"/>
          <w:szCs w:val="28"/>
        </w:rPr>
        <w:t xml:space="preserve">Why did </w:t>
      </w:r>
      <w:r w:rsidR="009B1738">
        <w:rPr>
          <w:rFonts w:hint="cs"/>
          <w:sz w:val="28"/>
          <w:szCs w:val="28"/>
          <w:rtl/>
        </w:rPr>
        <w:t>תוספות</w:t>
      </w:r>
      <w:r w:rsidR="009B1738">
        <w:rPr>
          <w:sz w:val="28"/>
          <w:szCs w:val="28"/>
        </w:rPr>
        <w:t xml:space="preserve"> originally assume that </w:t>
      </w:r>
      <w:r w:rsidR="009B1738">
        <w:rPr>
          <w:rFonts w:hint="cs"/>
          <w:sz w:val="28"/>
          <w:szCs w:val="28"/>
          <w:rtl/>
        </w:rPr>
        <w:t>ר"ע</w:t>
      </w:r>
      <w:r w:rsidR="009B1738">
        <w:rPr>
          <w:sz w:val="28"/>
          <w:szCs w:val="28"/>
        </w:rPr>
        <w:t xml:space="preserve"> was </w:t>
      </w:r>
      <w:r w:rsidR="009B1738">
        <w:rPr>
          <w:rFonts w:hint="cs"/>
          <w:sz w:val="28"/>
          <w:szCs w:val="28"/>
          <w:rtl/>
        </w:rPr>
        <w:t>שופך דם נקי</w:t>
      </w:r>
      <w:r w:rsidR="009B1738">
        <w:rPr>
          <w:sz w:val="28"/>
          <w:szCs w:val="28"/>
        </w:rPr>
        <w:t xml:space="preserve"> on account of </w:t>
      </w:r>
      <w:r w:rsidR="009B1738">
        <w:rPr>
          <w:rFonts w:hint="cs"/>
          <w:sz w:val="28"/>
          <w:szCs w:val="28"/>
          <w:rtl/>
        </w:rPr>
        <w:t>ביטול תורה</w:t>
      </w:r>
      <w:r w:rsidR="009B1738">
        <w:rPr>
          <w:sz w:val="28"/>
          <w:szCs w:val="28"/>
        </w:rPr>
        <w:t xml:space="preserve">, and not because a </w:t>
      </w:r>
      <w:r w:rsidR="009B1738">
        <w:rPr>
          <w:rFonts w:hint="cs"/>
          <w:sz w:val="28"/>
          <w:szCs w:val="28"/>
          <w:rtl/>
        </w:rPr>
        <w:t>מת מצוה</w:t>
      </w:r>
      <w:r w:rsidR="009B1738">
        <w:rPr>
          <w:sz w:val="28"/>
          <w:szCs w:val="28"/>
        </w:rPr>
        <w:t xml:space="preserve"> is </w:t>
      </w:r>
      <w:r w:rsidR="009B1738">
        <w:rPr>
          <w:rFonts w:hint="cs"/>
          <w:sz w:val="28"/>
          <w:szCs w:val="28"/>
          <w:rtl/>
        </w:rPr>
        <w:t>קונה מקומו</w:t>
      </w:r>
      <w:r w:rsidR="009B1738">
        <w:rPr>
          <w:sz w:val="28"/>
          <w:szCs w:val="28"/>
        </w:rPr>
        <w:t xml:space="preserve"> (as </w:t>
      </w:r>
      <w:r w:rsidR="009B1738">
        <w:rPr>
          <w:rFonts w:hint="cs"/>
          <w:sz w:val="28"/>
          <w:szCs w:val="28"/>
          <w:rtl/>
        </w:rPr>
        <w:t>תוספות</w:t>
      </w:r>
      <w:r w:rsidR="009B1738">
        <w:rPr>
          <w:sz w:val="28"/>
          <w:szCs w:val="28"/>
        </w:rPr>
        <w:t xml:space="preserve"> concludes)?</w:t>
      </w:r>
    </w:p>
    <w:p w:rsidR="0090762A" w:rsidRDefault="0090762A" w:rsidP="005423B7">
      <w:pPr>
        <w:spacing w:line="276" w:lineRule="auto"/>
        <w:jc w:val="both"/>
        <w:rPr>
          <w:sz w:val="28"/>
          <w:szCs w:val="28"/>
        </w:rPr>
      </w:pPr>
    </w:p>
    <w:p w:rsidR="0090762A" w:rsidRPr="009B1738" w:rsidRDefault="0090762A" w:rsidP="005423B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What is the view of the </w:t>
      </w:r>
      <w:r>
        <w:rPr>
          <w:rFonts w:hint="cs"/>
          <w:sz w:val="28"/>
          <w:szCs w:val="28"/>
          <w:rtl/>
        </w:rPr>
        <w:t>ר"י מקורבי"ל</w:t>
      </w:r>
      <w:r>
        <w:rPr>
          <w:sz w:val="28"/>
          <w:szCs w:val="28"/>
        </w:rPr>
        <w:t xml:space="preserve"> concerning burying a </w:t>
      </w:r>
      <w:r>
        <w:rPr>
          <w:rFonts w:hint="cs"/>
          <w:sz w:val="28"/>
          <w:szCs w:val="28"/>
          <w:rtl/>
        </w:rPr>
        <w:t>מת מצוה</w:t>
      </w:r>
      <w:r>
        <w:rPr>
          <w:sz w:val="28"/>
          <w:szCs w:val="28"/>
        </w:rPr>
        <w:t xml:space="preserve"> in his place?</w:t>
      </w:r>
      <w:r w:rsidR="00DA235F">
        <w:rPr>
          <w:rStyle w:val="FootnoteReference"/>
          <w:sz w:val="28"/>
          <w:szCs w:val="28"/>
        </w:rPr>
        <w:footnoteReference w:id="13"/>
      </w:r>
      <w:r>
        <w:rPr>
          <w:sz w:val="28"/>
          <w:szCs w:val="28"/>
        </w:rPr>
        <w:t xml:space="preserve"> If he agrees with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>, why is there a need for a different answer?</w:t>
      </w:r>
    </w:p>
    <w:p w:rsidR="00CA6493" w:rsidRPr="0005240D" w:rsidRDefault="0005240D" w:rsidP="005423B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CA6493" w:rsidRPr="00CA6493" w:rsidRDefault="00CA6493" w:rsidP="005423B7">
      <w:pPr>
        <w:spacing w:line="276" w:lineRule="auto"/>
        <w:jc w:val="both"/>
        <w:rPr>
          <w:sz w:val="28"/>
          <w:szCs w:val="28"/>
          <w:rtl/>
        </w:rPr>
      </w:pPr>
    </w:p>
    <w:sectPr w:rsidR="00CA6493" w:rsidRPr="00CA649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F2" w:rsidRDefault="00062CF2">
      <w:r>
        <w:separator/>
      </w:r>
    </w:p>
  </w:endnote>
  <w:endnote w:type="continuationSeparator" w:id="0">
    <w:p w:rsidR="00062CF2" w:rsidRDefault="0006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2F" w:rsidRDefault="00446E2F" w:rsidP="002D55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6E2F" w:rsidRDefault="00446E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3B7" w:rsidRDefault="005423B7">
    <w:pPr>
      <w:pStyle w:val="Footer"/>
      <w:jc w:val="center"/>
      <w:rPr>
        <w:rFonts w:hint="cs"/>
        <w:noProof/>
        <w:sz w:val="16"/>
        <w:szCs w:val="16"/>
        <w:rtl/>
      </w:rPr>
    </w:pPr>
    <w:r w:rsidRPr="005423B7">
      <w:rPr>
        <w:sz w:val="20"/>
        <w:szCs w:val="20"/>
      </w:rPr>
      <w:fldChar w:fldCharType="begin"/>
    </w:r>
    <w:r w:rsidRPr="005423B7">
      <w:rPr>
        <w:sz w:val="20"/>
        <w:szCs w:val="20"/>
      </w:rPr>
      <w:instrText xml:space="preserve"> PAGE   \* MERGEFORMAT </w:instrText>
    </w:r>
    <w:r w:rsidRPr="005423B7">
      <w:rPr>
        <w:sz w:val="20"/>
        <w:szCs w:val="20"/>
      </w:rPr>
      <w:fldChar w:fldCharType="separate"/>
    </w:r>
    <w:r w:rsidR="00163847">
      <w:rPr>
        <w:noProof/>
        <w:sz w:val="20"/>
        <w:szCs w:val="20"/>
      </w:rPr>
      <w:t>3</w:t>
    </w:r>
    <w:r w:rsidRPr="005423B7">
      <w:rPr>
        <w:noProof/>
        <w:sz w:val="20"/>
        <w:szCs w:val="20"/>
      </w:rPr>
      <w:fldChar w:fldCharType="end"/>
    </w:r>
  </w:p>
  <w:p w:rsidR="005423B7" w:rsidRPr="005423B7" w:rsidRDefault="005423B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446E2F" w:rsidRPr="00551608" w:rsidRDefault="00446E2F" w:rsidP="0055160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F2" w:rsidRDefault="00062CF2">
      <w:r>
        <w:separator/>
      </w:r>
    </w:p>
  </w:footnote>
  <w:footnote w:type="continuationSeparator" w:id="0">
    <w:p w:rsidR="00062CF2" w:rsidRDefault="00062CF2">
      <w:r>
        <w:continuationSeparator/>
      </w:r>
    </w:p>
  </w:footnote>
  <w:footnote w:id="1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parenthesized word is omitted and the text reads according to the bracketed inserts.</w:t>
      </w:r>
    </w:p>
  </w:footnote>
  <w:footnote w:id="2">
    <w:p w:rsidR="00DA235F" w:rsidRDefault="00DA235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following episode caused </w:t>
      </w:r>
      <w:r>
        <w:rPr>
          <w:rFonts w:hint="cs"/>
          <w:rtl/>
        </w:rPr>
        <w:t>ר"ע</w:t>
      </w:r>
      <w:r>
        <w:t xml:space="preserve"> to be more careful in </w:t>
      </w:r>
      <w:r>
        <w:rPr>
          <w:rFonts w:hint="cs"/>
          <w:rtl/>
        </w:rPr>
        <w:t>שימוש ת"ח</w:t>
      </w:r>
      <w:r>
        <w:t>.</w:t>
      </w:r>
    </w:p>
  </w:footnote>
  <w:footnote w:id="3">
    <w:p w:rsidR="005423B7" w:rsidRDefault="005423B7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מיל</w:t>
      </w:r>
      <w:r>
        <w:t xml:space="preserve"> is two thousand </w:t>
      </w:r>
      <w:r>
        <w:rPr>
          <w:rFonts w:hint="cs"/>
          <w:rtl/>
        </w:rPr>
        <w:t>אמות</w:t>
      </w:r>
      <w:r>
        <w:t xml:space="preserve"> (approximately 3,000 feet).</w:t>
      </w:r>
    </w:p>
  </w:footnote>
  <w:footnote w:id="4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מת מצוה</w:t>
      </w:r>
      <w:r>
        <w:t xml:space="preserve"> refers to anyone who dies and there are no people who are taking the responsibility to bury them. It is incumbent upon whoever comes in contact with this </w:t>
      </w:r>
      <w:r>
        <w:rPr>
          <w:rFonts w:hint="cs"/>
          <w:rtl/>
        </w:rPr>
        <w:t>מת</w:t>
      </w:r>
      <w:r>
        <w:t xml:space="preserve"> (even a </w:t>
      </w:r>
      <w:r>
        <w:rPr>
          <w:rFonts w:hint="cs"/>
          <w:rtl/>
        </w:rPr>
        <w:t>כהן גדול</w:t>
      </w:r>
      <w:r>
        <w:t xml:space="preserve">) to bury him. </w:t>
      </w:r>
    </w:p>
  </w:footnote>
  <w:footnote w:id="5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punishment for </w:t>
      </w:r>
      <w:r>
        <w:rPr>
          <w:rFonts w:hint="cs"/>
          <w:rtl/>
        </w:rPr>
        <w:t>ביטול תורה</w:t>
      </w:r>
      <w:r>
        <w:t xml:space="preserve"> is </w:t>
      </w:r>
      <w:r>
        <w:rPr>
          <w:rFonts w:hint="cs"/>
          <w:rtl/>
        </w:rPr>
        <w:t>כרת</w:t>
      </w:r>
      <w:r>
        <w:t xml:space="preserve"> as indicated in </w:t>
      </w:r>
      <w:r>
        <w:rPr>
          <w:rFonts w:hint="cs"/>
          <w:rtl/>
        </w:rPr>
        <w:t>סנהדרין צט,א</w:t>
      </w:r>
      <w:r>
        <w:t xml:space="preserve"> (see </w:t>
      </w:r>
      <w:r>
        <w:rPr>
          <w:rFonts w:hint="cs"/>
          <w:rtl/>
        </w:rPr>
        <w:t>לקו"א פ"א</w:t>
      </w:r>
      <w:r>
        <w:t>).</w:t>
      </w:r>
    </w:p>
  </w:footnote>
  <w:footnote w:id="6">
    <w:p w:rsidR="00831B49" w:rsidRPr="00831B49" w:rsidRDefault="00831B49" w:rsidP="00482D24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ברייתא</w:t>
      </w:r>
      <w:r>
        <w:t xml:space="preserve"> in </w:t>
      </w:r>
      <w:r>
        <w:rPr>
          <w:rFonts w:hint="cs"/>
          <w:rtl/>
        </w:rPr>
        <w:t>ב"ק דף פא,א</w:t>
      </w:r>
      <w:r>
        <w:t xml:space="preserve"> states that this is one of the ten conditions that </w:t>
      </w:r>
      <w:r>
        <w:rPr>
          <w:rFonts w:hint="cs"/>
          <w:rtl/>
        </w:rPr>
        <w:t>יהושע בן נון</w:t>
      </w:r>
      <w:r>
        <w:t xml:space="preserve"> instituted when he divided </w:t>
      </w:r>
      <w:r>
        <w:rPr>
          <w:rFonts w:hint="cs"/>
          <w:rtl/>
        </w:rPr>
        <w:t>א"י</w:t>
      </w:r>
      <w:r>
        <w:t xml:space="preserve"> for the </w:t>
      </w:r>
      <w:r>
        <w:rPr>
          <w:rFonts w:hint="cs"/>
          <w:rtl/>
        </w:rPr>
        <w:t>שבטים</w:t>
      </w:r>
      <w:r>
        <w:t>.</w:t>
      </w:r>
    </w:p>
  </w:footnote>
  <w:footnote w:id="7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reason is</w:t>
      </w:r>
      <w:r w:rsidR="009B1738">
        <w:rPr>
          <w:rFonts w:hint="cs"/>
          <w:rtl/>
        </w:rPr>
        <w:t xml:space="preserve"> </w:t>
      </w:r>
      <w:r w:rsidR="009B1738">
        <w:t>explained shortly.</w:t>
      </w:r>
    </w:p>
  </w:footnote>
  <w:footnote w:id="8">
    <w:p w:rsidR="007A4E80" w:rsidRDefault="007A4E80" w:rsidP="006118AF">
      <w:pPr>
        <w:pStyle w:val="FootnoteText"/>
        <w:spacing w:line="264" w:lineRule="auto"/>
        <w:jc w:val="both"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מסכת שמחות</w:t>
      </w:r>
      <w:r>
        <w:t xml:space="preserve"> is one of the </w:t>
      </w:r>
      <w:r>
        <w:rPr>
          <w:rFonts w:hint="cs"/>
          <w:rtl/>
        </w:rPr>
        <w:t>מסכתות קטנות</w:t>
      </w:r>
      <w:r>
        <w:t xml:space="preserve"> and is usually found (together with </w:t>
      </w:r>
      <w:r>
        <w:rPr>
          <w:rFonts w:hint="cs"/>
          <w:rtl/>
        </w:rPr>
        <w:t>מסכת דרך ארץ כו'</w:t>
      </w:r>
      <w:r>
        <w:t xml:space="preserve">) after </w:t>
      </w:r>
      <w:r>
        <w:rPr>
          <w:rFonts w:hint="cs"/>
          <w:rtl/>
        </w:rPr>
        <w:t>מסכת עבו"ז ומכות</w:t>
      </w:r>
      <w:r>
        <w:t xml:space="preserve">. It deals primarily with </w:t>
      </w:r>
      <w:r>
        <w:rPr>
          <w:rFonts w:hint="cs"/>
          <w:rtl/>
        </w:rPr>
        <w:t>עניני אבלות</w:t>
      </w:r>
      <w:r>
        <w:t xml:space="preserve"> and is euphemistically named </w:t>
      </w:r>
      <w:r>
        <w:rPr>
          <w:rFonts w:hint="cs"/>
          <w:rtl/>
        </w:rPr>
        <w:t>מסכת שמחות</w:t>
      </w:r>
      <w:r>
        <w:t xml:space="preserve">. In our texts of </w:t>
      </w:r>
      <w:r>
        <w:rPr>
          <w:rFonts w:hint="cs"/>
          <w:rtl/>
        </w:rPr>
        <w:t>מסכת שמחות</w:t>
      </w:r>
      <w:r>
        <w:t xml:space="preserve"> it does not state (clearly) that </w:t>
      </w:r>
      <w:r>
        <w:rPr>
          <w:rFonts w:hint="cs"/>
          <w:rtl/>
        </w:rPr>
        <w:t>מת מצוה קנה מקומו</w:t>
      </w:r>
      <w:r>
        <w:t xml:space="preserve"> and certainly not that </w:t>
      </w:r>
      <w:r>
        <w:rPr>
          <w:rFonts w:hint="cs"/>
          <w:rtl/>
        </w:rPr>
        <w:t>העובר על דברי חכמים חייב מיתה</w:t>
      </w:r>
      <w:r>
        <w:t xml:space="preserve"> (See however </w:t>
      </w:r>
      <w:r>
        <w:rPr>
          <w:rFonts w:hint="cs"/>
          <w:rtl/>
        </w:rPr>
        <w:t>מסכת ד"א זוטא פ"ח</w:t>
      </w:r>
      <w:r>
        <w:t xml:space="preserve">). It also does not state </w:t>
      </w:r>
      <w:r>
        <w:rPr>
          <w:rFonts w:hint="cs"/>
          <w:rtl/>
        </w:rPr>
        <w:t>'וכן' אמר ר"ע תחלת 'תשמישי'</w:t>
      </w:r>
      <w:r>
        <w:t xml:space="preserve">, but rather (merely) </w:t>
      </w:r>
      <w:r>
        <w:rPr>
          <w:rFonts w:hint="cs"/>
          <w:rtl/>
        </w:rPr>
        <w:t>אמר ר"ע תחלת 'זכותי'</w:t>
      </w:r>
      <w:r>
        <w:t>.</w:t>
      </w:r>
    </w:p>
  </w:footnote>
  <w:footnote w:id="9">
    <w:p w:rsidR="00831B49" w:rsidRDefault="00831B49" w:rsidP="006118AF">
      <w:pPr>
        <w:pStyle w:val="FootnoteText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This may be derived from what is written there in </w:t>
      </w:r>
      <w:r>
        <w:rPr>
          <w:rFonts w:hint="cs"/>
          <w:rtl/>
        </w:rPr>
        <w:t>הלכה לג</w:t>
      </w:r>
      <w:r>
        <w:t>.</w:t>
      </w:r>
    </w:p>
  </w:footnote>
  <w:footnote w:id="10">
    <w:p w:rsidR="00831B49" w:rsidRDefault="00831B49" w:rsidP="006118AF">
      <w:pPr>
        <w:pStyle w:val="FootnoteText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This is stated in </w:t>
      </w:r>
      <w:r>
        <w:rPr>
          <w:rFonts w:hint="cs"/>
          <w:rtl/>
        </w:rPr>
        <w:t>מסכת ברכות דף ד,ב</w:t>
      </w:r>
      <w:r>
        <w:t>.</w:t>
      </w:r>
    </w:p>
  </w:footnote>
  <w:footnote w:id="11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הלכה לד</w:t>
      </w:r>
      <w:r>
        <w:t>.</w:t>
      </w:r>
    </w:p>
  </w:footnote>
  <w:footnote w:id="12">
    <w:p w:rsidR="00446E2F" w:rsidRDefault="00446E2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ברכות ז,ב</w:t>
      </w:r>
      <w:r>
        <w:t>.</w:t>
      </w:r>
      <w:r w:rsidR="00F727D2">
        <w:t xml:space="preserve"> He was </w:t>
      </w:r>
      <w:r w:rsidR="00F727D2">
        <w:rPr>
          <w:rFonts w:hint="cs"/>
          <w:rtl/>
        </w:rPr>
        <w:t>מחויב מיתה</w:t>
      </w:r>
      <w:r w:rsidR="00F727D2">
        <w:t xml:space="preserve"> since he has lax in </w:t>
      </w:r>
      <w:r w:rsidR="00F727D2">
        <w:rPr>
          <w:rFonts w:hint="cs"/>
          <w:rtl/>
        </w:rPr>
        <w:t>שימוש ת"ח</w:t>
      </w:r>
      <w:r w:rsidR="00F727D2">
        <w:t xml:space="preserve">. See </w:t>
      </w:r>
      <w:r w:rsidR="00F727D2">
        <w:rPr>
          <w:rFonts w:hint="cs"/>
          <w:rtl/>
        </w:rPr>
        <w:t>מסכת ד"א זוטא ספ"ח</w:t>
      </w:r>
      <w:r w:rsidR="00F727D2">
        <w:t>.</w:t>
      </w:r>
    </w:p>
  </w:footnote>
  <w:footnote w:id="13">
    <w:p w:rsidR="00DA235F" w:rsidRDefault="00DA235F" w:rsidP="006118A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שיטה ישנה</w:t>
      </w:r>
      <w:r>
        <w:t xml:space="preserve"> in the </w:t>
      </w:r>
      <w:r>
        <w:rPr>
          <w:rFonts w:hint="cs"/>
          <w:rtl/>
        </w:rPr>
        <w:t>שטמ"ק</w:t>
      </w:r>
      <w:r>
        <w:t xml:space="preserve"> and </w:t>
      </w:r>
      <w:r>
        <w:rPr>
          <w:rFonts w:hint="cs"/>
          <w:rtl/>
        </w:rPr>
        <w:t>הפלאה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2F" w:rsidRDefault="00446E2F" w:rsidP="00551608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יז,א תוס' ד"ה מבטלין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1608"/>
    <w:rsid w:val="000135B6"/>
    <w:rsid w:val="0003107B"/>
    <w:rsid w:val="00035D00"/>
    <w:rsid w:val="00037215"/>
    <w:rsid w:val="00047EB7"/>
    <w:rsid w:val="000523E2"/>
    <w:rsid w:val="0005240D"/>
    <w:rsid w:val="0005681E"/>
    <w:rsid w:val="00061E9F"/>
    <w:rsid w:val="00062CF2"/>
    <w:rsid w:val="000661DF"/>
    <w:rsid w:val="00074E53"/>
    <w:rsid w:val="000825A6"/>
    <w:rsid w:val="00084A99"/>
    <w:rsid w:val="00094EB6"/>
    <w:rsid w:val="000952C7"/>
    <w:rsid w:val="0009659D"/>
    <w:rsid w:val="000A234E"/>
    <w:rsid w:val="000A66FC"/>
    <w:rsid w:val="000A704E"/>
    <w:rsid w:val="000B1E9A"/>
    <w:rsid w:val="000B377B"/>
    <w:rsid w:val="000C21FA"/>
    <w:rsid w:val="000C65DD"/>
    <w:rsid w:val="000D6702"/>
    <w:rsid w:val="00103B51"/>
    <w:rsid w:val="00110215"/>
    <w:rsid w:val="00112C69"/>
    <w:rsid w:val="0015643F"/>
    <w:rsid w:val="00163847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25857"/>
    <w:rsid w:val="00233159"/>
    <w:rsid w:val="0024128D"/>
    <w:rsid w:val="002456D8"/>
    <w:rsid w:val="002565C8"/>
    <w:rsid w:val="002645F1"/>
    <w:rsid w:val="0027005E"/>
    <w:rsid w:val="002778AC"/>
    <w:rsid w:val="002870E1"/>
    <w:rsid w:val="00293A47"/>
    <w:rsid w:val="002A6061"/>
    <w:rsid w:val="002A792F"/>
    <w:rsid w:val="002B4135"/>
    <w:rsid w:val="002D3CFC"/>
    <w:rsid w:val="002D5567"/>
    <w:rsid w:val="002E39F1"/>
    <w:rsid w:val="002E39F2"/>
    <w:rsid w:val="00311EC8"/>
    <w:rsid w:val="0031575F"/>
    <w:rsid w:val="0031695C"/>
    <w:rsid w:val="00317453"/>
    <w:rsid w:val="003203FB"/>
    <w:rsid w:val="003206C1"/>
    <w:rsid w:val="003328BE"/>
    <w:rsid w:val="00337C06"/>
    <w:rsid w:val="00370EA3"/>
    <w:rsid w:val="003850C7"/>
    <w:rsid w:val="00385C65"/>
    <w:rsid w:val="00387CF0"/>
    <w:rsid w:val="0039622B"/>
    <w:rsid w:val="003C2861"/>
    <w:rsid w:val="003D34E8"/>
    <w:rsid w:val="003E0B99"/>
    <w:rsid w:val="003E0BE9"/>
    <w:rsid w:val="003F0F83"/>
    <w:rsid w:val="004043D3"/>
    <w:rsid w:val="0041626A"/>
    <w:rsid w:val="00442246"/>
    <w:rsid w:val="00446E2F"/>
    <w:rsid w:val="0045569C"/>
    <w:rsid w:val="00482D24"/>
    <w:rsid w:val="004912CF"/>
    <w:rsid w:val="004A46A8"/>
    <w:rsid w:val="004C2792"/>
    <w:rsid w:val="004D44F9"/>
    <w:rsid w:val="004D743A"/>
    <w:rsid w:val="004F5CC8"/>
    <w:rsid w:val="005075B3"/>
    <w:rsid w:val="00524098"/>
    <w:rsid w:val="00525981"/>
    <w:rsid w:val="00526332"/>
    <w:rsid w:val="005361BA"/>
    <w:rsid w:val="005423B7"/>
    <w:rsid w:val="00543AAD"/>
    <w:rsid w:val="00551608"/>
    <w:rsid w:val="00552A0A"/>
    <w:rsid w:val="00566F97"/>
    <w:rsid w:val="00587A08"/>
    <w:rsid w:val="00594AD0"/>
    <w:rsid w:val="00594FFE"/>
    <w:rsid w:val="00596964"/>
    <w:rsid w:val="00596A4A"/>
    <w:rsid w:val="005C6F55"/>
    <w:rsid w:val="005D1BC8"/>
    <w:rsid w:val="006118AF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1C85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A4E80"/>
    <w:rsid w:val="007B620F"/>
    <w:rsid w:val="007C662F"/>
    <w:rsid w:val="007E5721"/>
    <w:rsid w:val="00800D57"/>
    <w:rsid w:val="0080628F"/>
    <w:rsid w:val="00810514"/>
    <w:rsid w:val="008247DD"/>
    <w:rsid w:val="00831B49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0762A"/>
    <w:rsid w:val="009126E7"/>
    <w:rsid w:val="009149E4"/>
    <w:rsid w:val="009517F7"/>
    <w:rsid w:val="00977898"/>
    <w:rsid w:val="00986B03"/>
    <w:rsid w:val="00991D46"/>
    <w:rsid w:val="009931CD"/>
    <w:rsid w:val="00997DCA"/>
    <w:rsid w:val="009A5F36"/>
    <w:rsid w:val="009B1738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6948"/>
    <w:rsid w:val="00B320A8"/>
    <w:rsid w:val="00B5520D"/>
    <w:rsid w:val="00B736BA"/>
    <w:rsid w:val="00B76ECA"/>
    <w:rsid w:val="00B9107D"/>
    <w:rsid w:val="00BA0498"/>
    <w:rsid w:val="00BA0EA7"/>
    <w:rsid w:val="00BE5AB0"/>
    <w:rsid w:val="00C2661A"/>
    <w:rsid w:val="00C32768"/>
    <w:rsid w:val="00C47587"/>
    <w:rsid w:val="00C50B9E"/>
    <w:rsid w:val="00C94D8F"/>
    <w:rsid w:val="00CA6493"/>
    <w:rsid w:val="00CB2EF7"/>
    <w:rsid w:val="00CE5DC6"/>
    <w:rsid w:val="00CF45CE"/>
    <w:rsid w:val="00D010DD"/>
    <w:rsid w:val="00D12A67"/>
    <w:rsid w:val="00D52FB7"/>
    <w:rsid w:val="00D5427B"/>
    <w:rsid w:val="00D73147"/>
    <w:rsid w:val="00D76902"/>
    <w:rsid w:val="00D80322"/>
    <w:rsid w:val="00DA235F"/>
    <w:rsid w:val="00DA6E08"/>
    <w:rsid w:val="00DB4AB2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EF4985"/>
    <w:rsid w:val="00F02605"/>
    <w:rsid w:val="00F13ED9"/>
    <w:rsid w:val="00F26261"/>
    <w:rsid w:val="00F41AB9"/>
    <w:rsid w:val="00F44D24"/>
    <w:rsid w:val="00F4628C"/>
    <w:rsid w:val="00F50751"/>
    <w:rsid w:val="00F50F81"/>
    <w:rsid w:val="00F727D2"/>
    <w:rsid w:val="00F74414"/>
    <w:rsid w:val="00F81D09"/>
    <w:rsid w:val="00F87647"/>
    <w:rsid w:val="00F91F4D"/>
    <w:rsid w:val="00F931A0"/>
    <w:rsid w:val="00F93757"/>
    <w:rsid w:val="00F9736B"/>
    <w:rsid w:val="00FB2B15"/>
    <w:rsid w:val="00FD5C73"/>
    <w:rsid w:val="00FF0935"/>
    <w:rsid w:val="00FF3AC6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45C6E4-CAA9-4AF8-A93F-3625F4EC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1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160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043D3"/>
    <w:rPr>
      <w:sz w:val="20"/>
      <w:szCs w:val="20"/>
    </w:rPr>
  </w:style>
  <w:style w:type="character" w:styleId="FootnoteReference">
    <w:name w:val="footnote reference"/>
    <w:semiHidden/>
    <w:rsid w:val="004043D3"/>
    <w:rPr>
      <w:vertAlign w:val="superscript"/>
    </w:rPr>
  </w:style>
  <w:style w:type="character" w:styleId="PageNumber">
    <w:name w:val="page number"/>
    <w:basedOn w:val="DefaultParagraphFont"/>
    <w:rsid w:val="00B76ECA"/>
  </w:style>
  <w:style w:type="character" w:customStyle="1" w:styleId="FooterChar">
    <w:name w:val="Footer Char"/>
    <w:link w:val="Footer"/>
    <w:uiPriority w:val="99"/>
    <w:rsid w:val="005423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מבטלין תלמוד תורה להוצאת המת – The teaching of תורה is disrupted in order to take out the dead for burial</vt:lpstr>
    </vt:vector>
  </TitlesOfParts>
  <Company>Oholei Torah</Company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מבטלין תלמוד תורה להוצאת המת – The teaching of תורה is disrupted in order to take out the dead for burial</dc:title>
  <dc:subject/>
  <dc:creator>Ephraim piekarski</dc:creator>
  <cp:keywords/>
  <dc:description/>
  <cp:lastModifiedBy>Microsoft account</cp:lastModifiedBy>
  <cp:revision>2</cp:revision>
  <cp:lastPrinted>2015-08-06T13:05:00Z</cp:lastPrinted>
  <dcterms:created xsi:type="dcterms:W3CDTF">2022-04-05T10:49:00Z</dcterms:created>
  <dcterms:modified xsi:type="dcterms:W3CDTF">2022-04-05T10:49:00Z</dcterms:modified>
</cp:coreProperties>
</file>