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8C1" w:rsidRDefault="0008499E" w:rsidP="005468C1">
      <w:pPr>
        <w:bidi/>
        <w:spacing w:line="276" w:lineRule="auto"/>
        <w:jc w:val="both"/>
        <w:rPr>
          <w:b/>
          <w:bCs/>
          <w:sz w:val="32"/>
          <w:szCs w:val="32"/>
          <w:lang w:bidi="he-IL"/>
        </w:rPr>
      </w:pPr>
      <w:bookmarkStart w:id="0" w:name="_GoBack"/>
      <w:bookmarkEnd w:id="0"/>
      <w:r>
        <w:rPr>
          <w:rFonts w:hint="cs"/>
          <w:b/>
          <w:bCs/>
          <w:sz w:val="36"/>
          <w:szCs w:val="36"/>
          <w:rtl/>
          <w:lang w:bidi="he-IL"/>
        </w:rPr>
        <w:t>ורב</w:t>
      </w:r>
      <w:r>
        <w:rPr>
          <w:rFonts w:hint="cs"/>
          <w:b/>
          <w:bCs/>
          <w:sz w:val="32"/>
          <w:szCs w:val="32"/>
          <w:rtl/>
          <w:lang w:bidi="he-IL"/>
        </w:rPr>
        <w:t xml:space="preserve"> הונא מתניתין אתא לאשמועינן</w:t>
      </w:r>
      <w:r>
        <w:rPr>
          <w:b/>
          <w:bCs/>
          <w:sz w:val="32"/>
          <w:szCs w:val="32"/>
          <w:lang w:bidi="he-IL"/>
        </w:rPr>
        <w:t xml:space="preserve"> – </w:t>
      </w:r>
    </w:p>
    <w:p w:rsidR="00D80DE2" w:rsidRDefault="0008499E" w:rsidP="005468C1">
      <w:pPr>
        <w:spacing w:line="276" w:lineRule="auto"/>
        <w:jc w:val="both"/>
        <w:rPr>
          <w:b/>
          <w:bCs/>
          <w:sz w:val="24"/>
          <w:szCs w:val="24"/>
          <w:lang w:bidi="he-IL"/>
        </w:rPr>
      </w:pPr>
      <w:r>
        <w:rPr>
          <w:b/>
          <w:bCs/>
          <w:sz w:val="32"/>
          <w:szCs w:val="32"/>
          <w:lang w:bidi="he-IL"/>
        </w:rPr>
        <w:t xml:space="preserve">Is </w:t>
      </w:r>
      <w:r>
        <w:rPr>
          <w:rFonts w:hint="cs"/>
          <w:b/>
          <w:bCs/>
          <w:sz w:val="32"/>
          <w:szCs w:val="32"/>
          <w:rtl/>
          <w:lang w:bidi="he-IL"/>
        </w:rPr>
        <w:t>ר"ה</w:t>
      </w:r>
      <w:r>
        <w:rPr>
          <w:b/>
          <w:bCs/>
          <w:sz w:val="32"/>
          <w:szCs w:val="32"/>
          <w:lang w:bidi="he-IL"/>
        </w:rPr>
        <w:t xml:space="preserve"> coming to teach us </w:t>
      </w:r>
      <w:r>
        <w:rPr>
          <w:sz w:val="32"/>
          <w:szCs w:val="32"/>
          <w:lang w:bidi="he-IL"/>
        </w:rPr>
        <w:t xml:space="preserve">what we learnt </w:t>
      </w:r>
      <w:r w:rsidRPr="0008499E">
        <w:rPr>
          <w:sz w:val="32"/>
          <w:szCs w:val="32"/>
          <w:lang w:bidi="he-IL"/>
        </w:rPr>
        <w:t>in</w:t>
      </w:r>
      <w:r>
        <w:rPr>
          <w:b/>
          <w:bCs/>
          <w:sz w:val="32"/>
          <w:szCs w:val="32"/>
          <w:lang w:bidi="he-IL"/>
        </w:rPr>
        <w:t xml:space="preserve"> our </w:t>
      </w:r>
      <w:r>
        <w:rPr>
          <w:rFonts w:hint="cs"/>
          <w:b/>
          <w:bCs/>
          <w:sz w:val="32"/>
          <w:szCs w:val="32"/>
          <w:rtl/>
          <w:lang w:bidi="he-IL"/>
        </w:rPr>
        <w:t>משנה</w:t>
      </w:r>
    </w:p>
    <w:p w:rsidR="00A67C4C" w:rsidRDefault="00A67C4C" w:rsidP="005468C1">
      <w:pPr>
        <w:spacing w:line="276" w:lineRule="auto"/>
        <w:jc w:val="both"/>
        <w:rPr>
          <w:b/>
          <w:bCs/>
          <w:sz w:val="24"/>
          <w:szCs w:val="24"/>
          <w:lang w:bidi="he-IL"/>
        </w:rPr>
      </w:pPr>
    </w:p>
    <w:p w:rsidR="00A67C4C" w:rsidRPr="005468C1" w:rsidRDefault="007878DC" w:rsidP="005468C1">
      <w:pPr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5468C1">
        <w:rPr>
          <w:rFonts w:ascii="Copperplate Gothic Bold" w:hAnsi="Copperplate Gothic Bold"/>
          <w:u w:val="double"/>
          <w:lang w:bidi="he-IL"/>
        </w:rPr>
        <w:t>Overview</w:t>
      </w:r>
    </w:p>
    <w:p w:rsidR="007878DC" w:rsidRPr="007878DC" w:rsidRDefault="00FE5E0C" w:rsidP="005468C1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initially stated that our </w:t>
      </w:r>
      <w:r>
        <w:rPr>
          <w:rFonts w:hint="cs"/>
          <w:rtl/>
          <w:lang w:bidi="he-IL"/>
        </w:rPr>
        <w:t>משנה</w:t>
      </w:r>
      <w:r>
        <w:rPr>
          <w:lang w:bidi="he-IL"/>
        </w:rPr>
        <w:t xml:space="preserve"> teaches us that </w:t>
      </w:r>
      <w:r>
        <w:rPr>
          <w:rFonts w:hint="cs"/>
          <w:rtl/>
          <w:lang w:bidi="he-IL"/>
        </w:rPr>
        <w:t>אין מחזיקין בנכסי קטן</w:t>
      </w:r>
      <w:r>
        <w:rPr>
          <w:lang w:bidi="he-IL"/>
        </w:rPr>
        <w:t xml:space="preserve"> as </w:t>
      </w:r>
      <w:r>
        <w:rPr>
          <w:rFonts w:hint="cs"/>
          <w:rtl/>
          <w:lang w:bidi="he-IL"/>
        </w:rPr>
        <w:t>רב הונא</w:t>
      </w:r>
      <w:r>
        <w:rPr>
          <w:lang w:bidi="he-IL"/>
        </w:rPr>
        <w:t xml:space="preserve"> indicated</w:t>
      </w:r>
      <w:r w:rsidR="00851D4B">
        <w:rPr>
          <w:lang w:bidi="he-IL"/>
        </w:rPr>
        <w:t xml:space="preserve"> elsewhere</w:t>
      </w:r>
      <w:r>
        <w:rPr>
          <w:lang w:bidi="he-IL"/>
        </w:rPr>
        <w:t xml:space="preserve">.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immediately asks if our </w:t>
      </w:r>
      <w:r>
        <w:rPr>
          <w:rFonts w:hint="cs"/>
          <w:rtl/>
          <w:lang w:bidi="he-IL"/>
        </w:rPr>
        <w:t>משנה</w:t>
      </w:r>
      <w:r>
        <w:rPr>
          <w:lang w:bidi="he-IL"/>
        </w:rPr>
        <w:t xml:space="preserve"> teaches this, why does </w:t>
      </w:r>
      <w:r>
        <w:rPr>
          <w:rFonts w:hint="cs"/>
          <w:rtl/>
          <w:lang w:bidi="he-IL"/>
        </w:rPr>
        <w:t>ר"ה</w:t>
      </w:r>
      <w:r>
        <w:rPr>
          <w:lang w:bidi="he-IL"/>
        </w:rPr>
        <w:t xml:space="preserve"> repeat it.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will explai</w:t>
      </w:r>
      <w:r w:rsidR="005468C1">
        <w:rPr>
          <w:lang w:bidi="he-IL"/>
        </w:rPr>
        <w:t>n what is meant by the question;</w:t>
      </w:r>
      <w:r>
        <w:rPr>
          <w:lang w:bidi="he-IL"/>
        </w:rPr>
        <w:t xml:space="preserve"> </w:t>
      </w:r>
      <w:r w:rsidR="005468C1">
        <w:rPr>
          <w:lang w:bidi="he-IL"/>
        </w:rPr>
        <w:t>‘</w:t>
      </w:r>
      <w:r>
        <w:rPr>
          <w:lang w:bidi="he-IL"/>
        </w:rPr>
        <w:t xml:space="preserve">why does </w:t>
      </w:r>
      <w:r>
        <w:rPr>
          <w:rFonts w:hint="cs"/>
          <w:rtl/>
          <w:lang w:bidi="he-IL"/>
        </w:rPr>
        <w:t>ר"ה</w:t>
      </w:r>
      <w:r>
        <w:rPr>
          <w:lang w:bidi="he-IL"/>
        </w:rPr>
        <w:t xml:space="preserve"> have to repeat what it says already in the </w:t>
      </w:r>
      <w:r>
        <w:rPr>
          <w:rFonts w:hint="cs"/>
          <w:rtl/>
          <w:lang w:bidi="he-IL"/>
        </w:rPr>
        <w:t>משנה</w:t>
      </w:r>
      <w:r w:rsidR="005468C1">
        <w:rPr>
          <w:lang w:bidi="he-IL"/>
        </w:rPr>
        <w:t>’</w:t>
      </w:r>
      <w:r>
        <w:rPr>
          <w:lang w:bidi="he-IL"/>
        </w:rPr>
        <w:t xml:space="preserve">. </w:t>
      </w:r>
    </w:p>
    <w:p w:rsidR="00A67C4C" w:rsidRPr="00851D4B" w:rsidRDefault="00851D4B" w:rsidP="005468C1">
      <w:pPr>
        <w:spacing w:line="276" w:lineRule="auto"/>
        <w:jc w:val="center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------------------</w:t>
      </w:r>
    </w:p>
    <w:p w:rsidR="00A67C4C" w:rsidRDefault="00A67C4C" w:rsidP="005468C1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>תוספות</w:t>
      </w:r>
      <w:r>
        <w:rPr>
          <w:sz w:val="24"/>
          <w:szCs w:val="24"/>
          <w:lang w:bidi="he-IL"/>
        </w:rPr>
        <w:t xml:space="preserve"> anticipates a difficulty:</w:t>
      </w:r>
    </w:p>
    <w:p w:rsidR="005468C1" w:rsidRPr="00DE0591" w:rsidRDefault="00A67C4C" w:rsidP="00DE0591">
      <w:pPr>
        <w:bidi/>
        <w:spacing w:line="276" w:lineRule="auto"/>
        <w:jc w:val="both"/>
        <w:rPr>
          <w:b/>
          <w:bCs/>
          <w:lang w:bidi="he-IL"/>
        </w:rPr>
      </w:pPr>
      <w:r w:rsidRPr="00DE0591">
        <w:rPr>
          <w:rFonts w:cs="David" w:hint="cs"/>
          <w:b/>
          <w:bCs/>
          <w:rtl/>
          <w:lang w:bidi="he-IL"/>
        </w:rPr>
        <w:t>לאו דווקא נקט רב הונא</w:t>
      </w:r>
      <w:r w:rsidR="005468C1" w:rsidRPr="00DE0591">
        <w:rPr>
          <w:rFonts w:cs="David" w:hint="cs"/>
          <w:b/>
          <w:bCs/>
          <w:rtl/>
          <w:lang w:bidi="he-IL"/>
        </w:rPr>
        <w:t xml:space="preserve"> דהא לא איירי רב הונא התם אלא במורידן קרוב לנכסי קטן</w:t>
      </w:r>
      <w:r w:rsidRPr="00DE0591">
        <w:rPr>
          <w:rFonts w:cs="David"/>
          <w:b/>
          <w:bCs/>
          <w:lang w:bidi="he-IL"/>
        </w:rPr>
        <w:t xml:space="preserve"> </w:t>
      </w:r>
      <w:r w:rsidR="00DE0591">
        <w:rPr>
          <w:rFonts w:cs="David" w:hint="cs"/>
          <w:b/>
          <w:bCs/>
          <w:rtl/>
          <w:lang w:bidi="he-IL"/>
        </w:rPr>
        <w:t>-</w:t>
      </w:r>
      <w:r w:rsidRPr="00DE0591">
        <w:rPr>
          <w:b/>
          <w:bCs/>
          <w:lang w:bidi="he-IL"/>
        </w:rPr>
        <w:t xml:space="preserve"> </w:t>
      </w:r>
    </w:p>
    <w:p w:rsidR="005468C1" w:rsidRDefault="00851D4B" w:rsidP="005468C1">
      <w:pPr>
        <w:spacing w:line="276" w:lineRule="auto"/>
        <w:jc w:val="both"/>
        <w:rPr>
          <w:rFonts w:hint="cs"/>
          <w:rtl/>
          <w:lang w:bidi="he-IL"/>
        </w:rPr>
      </w:pPr>
      <w:r w:rsidRPr="00851D4B">
        <w:rPr>
          <w:b/>
          <w:bCs/>
          <w:lang w:bidi="he-IL"/>
        </w:rPr>
        <w:t>Mentioning</w:t>
      </w:r>
      <w:r w:rsidR="00A67C4C">
        <w:rPr>
          <w:lang w:bidi="he-IL"/>
        </w:rPr>
        <w:t xml:space="preserve"> </w:t>
      </w:r>
      <w:r w:rsidR="00A67C4C">
        <w:rPr>
          <w:rFonts w:hint="cs"/>
          <w:b/>
          <w:bCs/>
          <w:rtl/>
          <w:lang w:bidi="he-IL"/>
        </w:rPr>
        <w:t>רב הונא</w:t>
      </w:r>
      <w:r w:rsidR="009418B0">
        <w:rPr>
          <w:b/>
          <w:bCs/>
          <w:lang w:bidi="he-IL"/>
        </w:rPr>
        <w:t xml:space="preserve"> was </w:t>
      </w:r>
      <w:r w:rsidR="005468C1">
        <w:rPr>
          <w:b/>
          <w:bCs/>
          <w:lang w:bidi="he-IL"/>
        </w:rPr>
        <w:t>not</w:t>
      </w:r>
      <w:r w:rsidR="005468C1">
        <w:rPr>
          <w:rFonts w:hint="cs"/>
          <w:b/>
          <w:bCs/>
          <w:rtl/>
          <w:lang w:bidi="he-IL"/>
        </w:rPr>
        <w:t xml:space="preserve"> </w:t>
      </w:r>
      <w:r w:rsidR="005468C1">
        <w:rPr>
          <w:b/>
          <w:bCs/>
          <w:lang w:bidi="he-IL"/>
        </w:rPr>
        <w:t>specific</w:t>
      </w:r>
      <w:r w:rsidR="00A67C4C">
        <w:rPr>
          <w:b/>
          <w:bCs/>
          <w:lang w:bidi="he-IL"/>
        </w:rPr>
        <w:t>.</w:t>
      </w:r>
      <w:r w:rsidR="00A67C4C">
        <w:rPr>
          <w:lang w:bidi="he-IL"/>
        </w:rPr>
        <w:t xml:space="preserve"> </w:t>
      </w:r>
      <w:r w:rsidR="00A67C4C" w:rsidRPr="005468C1">
        <w:rPr>
          <w:lang w:bidi="he-IL"/>
        </w:rPr>
        <w:t xml:space="preserve">The question of the </w:t>
      </w:r>
      <w:r w:rsidR="00A67C4C" w:rsidRPr="005468C1">
        <w:rPr>
          <w:rFonts w:hint="cs"/>
          <w:rtl/>
          <w:lang w:bidi="he-IL"/>
        </w:rPr>
        <w:t>גמרא</w:t>
      </w:r>
      <w:r w:rsidR="00A67C4C" w:rsidRPr="005468C1">
        <w:rPr>
          <w:lang w:bidi="he-IL"/>
        </w:rPr>
        <w:t xml:space="preserve"> is not on </w:t>
      </w:r>
      <w:r w:rsidR="00A67C4C" w:rsidRPr="005468C1">
        <w:rPr>
          <w:rFonts w:hint="cs"/>
          <w:rtl/>
          <w:lang w:bidi="he-IL"/>
        </w:rPr>
        <w:t>ר"ה</w:t>
      </w:r>
      <w:r w:rsidRPr="005468C1">
        <w:rPr>
          <w:lang w:bidi="he-IL"/>
        </w:rPr>
        <w:t xml:space="preserve"> per se</w:t>
      </w:r>
      <w:r w:rsidR="005468C1">
        <w:rPr>
          <w:lang w:bidi="he-IL"/>
        </w:rPr>
        <w:t xml:space="preserve">, </w:t>
      </w:r>
      <w:r w:rsidR="00A67C4C">
        <w:rPr>
          <w:b/>
          <w:bCs/>
          <w:lang w:bidi="he-IL"/>
        </w:rPr>
        <w:t xml:space="preserve">for </w:t>
      </w:r>
      <w:r w:rsidR="00A67C4C">
        <w:rPr>
          <w:rFonts w:hint="cs"/>
          <w:b/>
          <w:bCs/>
          <w:rtl/>
          <w:lang w:bidi="he-IL"/>
        </w:rPr>
        <w:t>ר"ה</w:t>
      </w:r>
      <w:r w:rsidR="00A67C4C">
        <w:rPr>
          <w:b/>
          <w:bCs/>
          <w:lang w:bidi="he-IL"/>
        </w:rPr>
        <w:t xml:space="preserve"> is not discussing there</w:t>
      </w:r>
      <w:r w:rsidR="005468C1">
        <w:rPr>
          <w:rStyle w:val="FootnoteReference"/>
          <w:b/>
          <w:bCs/>
          <w:lang w:bidi="he-IL"/>
        </w:rPr>
        <w:footnoteReference w:id="1"/>
      </w:r>
      <w:r w:rsidR="007878DC">
        <w:rPr>
          <w:b/>
          <w:bCs/>
          <w:lang w:bidi="he-IL"/>
        </w:rPr>
        <w:t xml:space="preserve"> </w:t>
      </w:r>
      <w:r w:rsidR="00A67C4C" w:rsidRPr="005468C1">
        <w:rPr>
          <w:lang w:bidi="he-IL"/>
        </w:rPr>
        <w:t xml:space="preserve">the rule of </w:t>
      </w:r>
      <w:r w:rsidR="00A67C4C" w:rsidRPr="005468C1">
        <w:rPr>
          <w:rFonts w:hint="cs"/>
          <w:rtl/>
          <w:lang w:bidi="he-IL"/>
        </w:rPr>
        <w:t>אין מחזיקין בנכסי קטן</w:t>
      </w:r>
      <w:r w:rsidR="00DE0591">
        <w:rPr>
          <w:lang w:bidi="he-IL"/>
        </w:rPr>
        <w:t>,</w:t>
      </w:r>
      <w:r w:rsidR="00A67C4C" w:rsidRPr="005468C1">
        <w:rPr>
          <w:lang w:bidi="he-IL"/>
        </w:rPr>
        <w:t xml:space="preserve"> </w:t>
      </w:r>
      <w:r w:rsidR="00A67C4C">
        <w:rPr>
          <w:b/>
          <w:bCs/>
          <w:lang w:bidi="he-IL"/>
        </w:rPr>
        <w:t xml:space="preserve">but rather </w:t>
      </w:r>
      <w:r w:rsidR="00A67C4C">
        <w:rPr>
          <w:rFonts w:hint="cs"/>
          <w:rtl/>
          <w:lang w:bidi="he-IL"/>
        </w:rPr>
        <w:t>ר"ה</w:t>
      </w:r>
      <w:r w:rsidR="00A67C4C">
        <w:rPr>
          <w:lang w:bidi="he-IL"/>
        </w:rPr>
        <w:t xml:space="preserve"> was teaching the rule </w:t>
      </w:r>
      <w:r w:rsidR="00A67C4C">
        <w:rPr>
          <w:b/>
          <w:bCs/>
          <w:lang w:bidi="he-IL"/>
        </w:rPr>
        <w:t xml:space="preserve">concerning </w:t>
      </w:r>
      <w:r w:rsidR="00A67C4C">
        <w:rPr>
          <w:lang w:bidi="he-IL"/>
        </w:rPr>
        <w:t xml:space="preserve">whether </w:t>
      </w:r>
      <w:r w:rsidR="00A67C4C">
        <w:rPr>
          <w:rFonts w:hint="cs"/>
          <w:rtl/>
          <w:lang w:bidi="he-IL"/>
        </w:rPr>
        <w:t>בי"ד</w:t>
      </w:r>
      <w:r w:rsidR="00A67C4C">
        <w:rPr>
          <w:lang w:bidi="he-IL"/>
        </w:rPr>
        <w:t xml:space="preserve"> </w:t>
      </w:r>
      <w:r w:rsidR="00A67C4C">
        <w:rPr>
          <w:b/>
          <w:bCs/>
          <w:lang w:bidi="he-IL"/>
        </w:rPr>
        <w:t xml:space="preserve">appoints a relative </w:t>
      </w:r>
      <w:r w:rsidR="00A67C4C" w:rsidRPr="00A67C4C">
        <w:rPr>
          <w:b/>
          <w:bCs/>
          <w:lang w:bidi="he-IL"/>
        </w:rPr>
        <w:t>to administer</w:t>
      </w:r>
      <w:r w:rsidR="00A67C4C">
        <w:rPr>
          <w:lang w:bidi="he-IL"/>
        </w:rPr>
        <w:t xml:space="preserve"> </w:t>
      </w:r>
      <w:r w:rsidR="00A67C4C">
        <w:rPr>
          <w:b/>
          <w:bCs/>
          <w:lang w:bidi="he-IL"/>
        </w:rPr>
        <w:t>the estate of a minor</w:t>
      </w:r>
      <w:r w:rsidR="005468C1">
        <w:rPr>
          <w:b/>
          <w:bCs/>
          <w:lang w:bidi="he-IL"/>
        </w:rPr>
        <w:t>.</w:t>
      </w:r>
      <w:r w:rsidR="007878DC">
        <w:rPr>
          <w:rStyle w:val="FootnoteReference"/>
          <w:b/>
          <w:bCs/>
          <w:lang w:bidi="he-IL"/>
        </w:rPr>
        <w:footnoteReference w:id="2"/>
      </w:r>
      <w:r w:rsidR="00A67C4C">
        <w:rPr>
          <w:lang w:bidi="he-IL"/>
        </w:rPr>
        <w:t xml:space="preserve"> </w:t>
      </w:r>
    </w:p>
    <w:p w:rsidR="005468C1" w:rsidRPr="00DE0591" w:rsidRDefault="005468C1" w:rsidP="00DE0591">
      <w:pPr>
        <w:bidi/>
        <w:spacing w:line="276" w:lineRule="auto"/>
        <w:jc w:val="both"/>
        <w:rPr>
          <w:rFonts w:cs="David" w:hint="cs"/>
          <w:b/>
          <w:bCs/>
          <w:rtl/>
          <w:lang w:bidi="he-IL"/>
        </w:rPr>
      </w:pPr>
      <w:r w:rsidRPr="00DE0591">
        <w:rPr>
          <w:rFonts w:cs="David" w:hint="cs"/>
          <w:b/>
          <w:bCs/>
          <w:rtl/>
          <w:lang w:bidi="he-IL"/>
        </w:rPr>
        <w:t>והא לא שמעינן ממתניתין -</w:t>
      </w:r>
    </w:p>
    <w:p w:rsidR="00A67C4C" w:rsidRPr="002B063D" w:rsidRDefault="005468C1" w:rsidP="005468C1">
      <w:pPr>
        <w:spacing w:line="276" w:lineRule="auto"/>
        <w:jc w:val="both"/>
        <w:rPr>
          <w:sz w:val="24"/>
          <w:szCs w:val="24"/>
          <w:lang w:bidi="he-IL"/>
        </w:rPr>
      </w:pPr>
      <w:r w:rsidRPr="005468C1">
        <w:rPr>
          <w:b/>
          <w:bCs/>
          <w:lang w:bidi="he-IL"/>
        </w:rPr>
        <w:t>And</w:t>
      </w:r>
      <w:r w:rsidRPr="005468C1">
        <w:rPr>
          <w:lang w:bidi="he-IL"/>
        </w:rPr>
        <w:t xml:space="preserve"> t</w:t>
      </w:r>
      <w:r w:rsidR="00A67C4C" w:rsidRPr="005468C1">
        <w:rPr>
          <w:lang w:bidi="he-IL"/>
        </w:rPr>
        <w:t xml:space="preserve">his ruling </w:t>
      </w:r>
      <w:r w:rsidR="00A67C4C" w:rsidRPr="005468C1">
        <w:rPr>
          <w:b/>
          <w:bCs/>
          <w:lang w:bidi="he-IL"/>
        </w:rPr>
        <w:t xml:space="preserve">is not derived from our </w:t>
      </w:r>
      <w:r w:rsidR="00A67C4C" w:rsidRPr="005468C1">
        <w:rPr>
          <w:rFonts w:hint="cs"/>
          <w:b/>
          <w:bCs/>
          <w:rtl/>
          <w:lang w:bidi="he-IL"/>
        </w:rPr>
        <w:t>משנה</w:t>
      </w:r>
      <w:r w:rsidR="00A67C4C" w:rsidRPr="002B063D">
        <w:rPr>
          <w:sz w:val="24"/>
          <w:szCs w:val="24"/>
          <w:lang w:bidi="he-IL"/>
        </w:rPr>
        <w:t xml:space="preserve">. Why does the </w:t>
      </w:r>
      <w:r w:rsidR="00A67C4C" w:rsidRPr="002B063D">
        <w:rPr>
          <w:rFonts w:hint="cs"/>
          <w:sz w:val="24"/>
          <w:szCs w:val="24"/>
          <w:rtl/>
          <w:lang w:bidi="he-IL"/>
        </w:rPr>
        <w:t>גמרא</w:t>
      </w:r>
      <w:r w:rsidR="00A67C4C" w:rsidRPr="002B063D">
        <w:rPr>
          <w:sz w:val="24"/>
          <w:szCs w:val="24"/>
          <w:lang w:bidi="he-IL"/>
        </w:rPr>
        <w:t xml:space="preserve"> ask, </w:t>
      </w:r>
      <w:r w:rsidR="00A67C4C" w:rsidRPr="002B063D">
        <w:rPr>
          <w:rFonts w:hint="cs"/>
          <w:sz w:val="24"/>
          <w:szCs w:val="24"/>
          <w:rtl/>
          <w:lang w:bidi="he-IL"/>
        </w:rPr>
        <w:t>ורב הונא מתניתין אתא לאשמועינן</w:t>
      </w:r>
      <w:r w:rsidR="00A67C4C" w:rsidRPr="002B063D">
        <w:rPr>
          <w:sz w:val="24"/>
          <w:szCs w:val="24"/>
          <w:lang w:bidi="he-IL"/>
        </w:rPr>
        <w:t>?</w:t>
      </w:r>
    </w:p>
    <w:p w:rsidR="002B063D" w:rsidRPr="002B063D" w:rsidRDefault="002B063D" w:rsidP="005468C1">
      <w:pPr>
        <w:spacing w:line="276" w:lineRule="auto"/>
        <w:jc w:val="both"/>
        <w:rPr>
          <w:sz w:val="24"/>
          <w:szCs w:val="24"/>
          <w:lang w:bidi="he-IL"/>
        </w:rPr>
      </w:pPr>
    </w:p>
    <w:p w:rsidR="002B063D" w:rsidRPr="002B063D" w:rsidRDefault="002B063D" w:rsidP="005468C1">
      <w:pPr>
        <w:spacing w:line="276" w:lineRule="auto"/>
        <w:jc w:val="both"/>
        <w:rPr>
          <w:sz w:val="24"/>
          <w:szCs w:val="24"/>
          <w:lang w:bidi="he-IL"/>
        </w:rPr>
      </w:pPr>
      <w:r w:rsidRPr="002B063D">
        <w:rPr>
          <w:rFonts w:hint="cs"/>
          <w:sz w:val="24"/>
          <w:szCs w:val="24"/>
          <w:rtl/>
          <w:lang w:bidi="he-IL"/>
        </w:rPr>
        <w:t>תוספות</w:t>
      </w:r>
      <w:r w:rsidRPr="002B063D">
        <w:rPr>
          <w:sz w:val="24"/>
          <w:szCs w:val="24"/>
          <w:lang w:bidi="he-IL"/>
        </w:rPr>
        <w:t xml:space="preserve"> replies:</w:t>
      </w:r>
    </w:p>
    <w:p w:rsidR="005468C1" w:rsidRPr="00DE0591" w:rsidRDefault="002B063D" w:rsidP="00DE0591">
      <w:pPr>
        <w:bidi/>
        <w:spacing w:line="276" w:lineRule="auto"/>
        <w:jc w:val="both"/>
        <w:rPr>
          <w:rFonts w:cs="David" w:hint="cs"/>
          <w:b/>
          <w:bCs/>
          <w:rtl/>
          <w:lang w:bidi="he-IL"/>
        </w:rPr>
      </w:pPr>
      <w:r w:rsidRPr="00DE0591">
        <w:rPr>
          <w:rFonts w:cs="David" w:hint="cs"/>
          <w:b/>
          <w:bCs/>
          <w:rtl/>
          <w:lang w:bidi="he-IL"/>
        </w:rPr>
        <w:t>אלא כלומר רבא</w:t>
      </w:r>
      <w:r w:rsidR="00DE2CED" w:rsidRPr="00DE0591">
        <w:rPr>
          <w:rFonts w:cs="David" w:hint="cs"/>
          <w:b/>
          <w:bCs/>
          <w:rtl/>
          <w:lang w:bidi="he-IL"/>
        </w:rPr>
        <w:t xml:space="preserve"> דדייק התם שמע מינה דרב הונא דאין מחזיקין בנכסי קטן</w:t>
      </w:r>
      <w:r w:rsidR="00DE2CED" w:rsidRPr="00DE0591">
        <w:rPr>
          <w:rStyle w:val="FootnoteReference"/>
          <w:rFonts w:cs="David"/>
          <w:b/>
          <w:bCs/>
          <w:rtl/>
          <w:lang w:bidi="he-IL"/>
        </w:rPr>
        <w:footnoteReference w:id="3"/>
      </w:r>
      <w:r w:rsidRPr="00DE0591">
        <w:rPr>
          <w:rFonts w:cs="David"/>
          <w:b/>
          <w:bCs/>
          <w:lang w:bidi="he-IL"/>
        </w:rPr>
        <w:t xml:space="preserve"> </w:t>
      </w:r>
      <w:r w:rsidR="00DE0591">
        <w:rPr>
          <w:rFonts w:cs="David" w:hint="cs"/>
          <w:b/>
          <w:bCs/>
          <w:rtl/>
          <w:lang w:bidi="he-IL"/>
        </w:rPr>
        <w:t>-</w:t>
      </w:r>
      <w:r w:rsidRPr="00DE0591">
        <w:rPr>
          <w:rFonts w:cs="David"/>
          <w:b/>
          <w:bCs/>
          <w:lang w:bidi="he-IL"/>
        </w:rPr>
        <w:t xml:space="preserve"> </w:t>
      </w:r>
    </w:p>
    <w:p w:rsidR="002B063D" w:rsidRPr="002B063D" w:rsidRDefault="002B063D" w:rsidP="00DE2CED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 xml:space="preserve">But rather </w:t>
      </w: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means </w:t>
      </w:r>
      <w:r w:rsidRPr="005468C1">
        <w:rPr>
          <w:lang w:bidi="he-IL"/>
        </w:rPr>
        <w:t>to ask on</w:t>
      </w:r>
      <w:r>
        <w:rPr>
          <w:b/>
          <w:bCs/>
          <w:lang w:bidi="he-IL"/>
        </w:rPr>
        <w:t xml:space="preserve"> </w:t>
      </w:r>
      <w:r>
        <w:rPr>
          <w:rFonts w:hint="cs"/>
          <w:b/>
          <w:bCs/>
          <w:rtl/>
          <w:lang w:bidi="he-IL"/>
        </w:rPr>
        <w:t>רבא</w:t>
      </w:r>
      <w:r w:rsidR="00DE2CED">
        <w:rPr>
          <w:b/>
          <w:bCs/>
          <w:lang w:bidi="he-IL"/>
        </w:rPr>
        <w:t>,</w:t>
      </w:r>
      <w:r>
        <w:rPr>
          <w:b/>
          <w:bCs/>
          <w:lang w:bidi="he-IL"/>
        </w:rPr>
        <w:t xml:space="preserve"> </w:t>
      </w:r>
      <w:r w:rsidR="00DE2CED" w:rsidRPr="00DE2CED">
        <w:rPr>
          <w:b/>
          <w:bCs/>
          <w:lang w:bidi="he-IL"/>
        </w:rPr>
        <w:t>who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infers there </w:t>
      </w:r>
      <w:r w:rsidRPr="00DE2CED">
        <w:rPr>
          <w:lang w:bidi="he-IL"/>
        </w:rPr>
        <w:t xml:space="preserve">from the abovementioned ruling of </w:t>
      </w:r>
      <w:r w:rsidRPr="00DE2CED">
        <w:rPr>
          <w:rFonts w:hint="cs"/>
          <w:rtl/>
          <w:lang w:bidi="he-IL"/>
        </w:rPr>
        <w:t>ר"ה</w:t>
      </w:r>
      <w:r w:rsidR="007878DC" w:rsidRPr="00DE2CED">
        <w:rPr>
          <w:lang w:bidi="he-IL"/>
        </w:rPr>
        <w:t>,</w:t>
      </w:r>
      <w:r w:rsidRPr="00DE2CED">
        <w:rPr>
          <w:lang w:bidi="he-IL"/>
        </w:rPr>
        <w:t xml:space="preserve"> </w:t>
      </w:r>
      <w:r w:rsidR="007878DC" w:rsidRPr="00DE2CED">
        <w:rPr>
          <w:lang w:bidi="he-IL"/>
        </w:rPr>
        <w:t>that</w:t>
      </w:r>
      <w:r w:rsidRPr="00DE2CED">
        <w:rPr>
          <w:b/>
          <w:bCs/>
          <w:lang w:bidi="he-IL"/>
        </w:rPr>
        <w:t xml:space="preserve"> </w:t>
      </w:r>
      <w:r>
        <w:rPr>
          <w:b/>
          <w:bCs/>
          <w:lang w:bidi="he-IL"/>
        </w:rPr>
        <w:t xml:space="preserve">we can derive from </w:t>
      </w:r>
      <w:r>
        <w:rPr>
          <w:lang w:bidi="he-IL"/>
        </w:rPr>
        <w:t xml:space="preserve">the ruling </w:t>
      </w:r>
      <w:r>
        <w:rPr>
          <w:b/>
          <w:bCs/>
          <w:lang w:bidi="he-IL"/>
        </w:rPr>
        <w:t xml:space="preserve">of </w:t>
      </w:r>
      <w:r>
        <w:rPr>
          <w:rFonts w:hint="cs"/>
          <w:b/>
          <w:bCs/>
          <w:rtl/>
          <w:lang w:bidi="he-IL"/>
        </w:rPr>
        <w:t>ר"ה</w:t>
      </w:r>
      <w:r>
        <w:rPr>
          <w:b/>
          <w:bCs/>
          <w:lang w:bidi="he-IL"/>
        </w:rPr>
        <w:t xml:space="preserve"> that one cannot make a </w:t>
      </w:r>
      <w:r>
        <w:rPr>
          <w:rFonts w:hint="cs"/>
          <w:b/>
          <w:bCs/>
          <w:rtl/>
          <w:lang w:bidi="he-IL"/>
        </w:rPr>
        <w:t>חזקה</w:t>
      </w:r>
      <w:r>
        <w:rPr>
          <w:b/>
          <w:bCs/>
          <w:lang w:bidi="he-IL"/>
        </w:rPr>
        <w:t xml:space="preserve"> in the properties of a </w:t>
      </w:r>
      <w:r>
        <w:rPr>
          <w:rFonts w:hint="cs"/>
          <w:b/>
          <w:bCs/>
          <w:rtl/>
          <w:lang w:bidi="he-IL"/>
        </w:rPr>
        <w:t>קטן</w:t>
      </w:r>
      <w:r>
        <w:rPr>
          <w:b/>
          <w:bCs/>
          <w:lang w:bidi="he-IL"/>
        </w:rPr>
        <w:t xml:space="preserve">. </w:t>
      </w:r>
      <w:r w:rsidRPr="002B063D">
        <w:rPr>
          <w:sz w:val="24"/>
          <w:szCs w:val="24"/>
          <w:lang w:bidi="he-IL"/>
        </w:rPr>
        <w:t xml:space="preserve">This is what </w:t>
      </w:r>
      <w:r w:rsidRPr="002B063D">
        <w:rPr>
          <w:rFonts w:hint="cs"/>
          <w:sz w:val="24"/>
          <w:szCs w:val="24"/>
          <w:rtl/>
          <w:lang w:bidi="he-IL"/>
        </w:rPr>
        <w:t>רבא</w:t>
      </w:r>
      <w:r w:rsidRPr="002B063D">
        <w:rPr>
          <w:sz w:val="24"/>
          <w:szCs w:val="24"/>
          <w:lang w:bidi="he-IL"/>
        </w:rPr>
        <w:t xml:space="preserve"> derives from </w:t>
      </w:r>
      <w:r w:rsidRPr="002B063D">
        <w:rPr>
          <w:rFonts w:hint="cs"/>
          <w:sz w:val="24"/>
          <w:szCs w:val="24"/>
          <w:rtl/>
          <w:lang w:bidi="he-IL"/>
        </w:rPr>
        <w:t>רב הונא</w:t>
      </w:r>
      <w:r w:rsidRPr="002B063D">
        <w:rPr>
          <w:sz w:val="24"/>
          <w:szCs w:val="24"/>
          <w:lang w:bidi="he-IL"/>
        </w:rPr>
        <w:t xml:space="preserve">. Our </w:t>
      </w:r>
      <w:r w:rsidRPr="002B063D">
        <w:rPr>
          <w:rFonts w:hint="cs"/>
          <w:sz w:val="24"/>
          <w:szCs w:val="24"/>
          <w:rtl/>
          <w:lang w:bidi="he-IL"/>
        </w:rPr>
        <w:t>גמרא</w:t>
      </w:r>
      <w:r w:rsidRPr="002B063D">
        <w:rPr>
          <w:sz w:val="24"/>
          <w:szCs w:val="24"/>
          <w:lang w:bidi="he-IL"/>
        </w:rPr>
        <w:t xml:space="preserve"> asks on this derivation of </w:t>
      </w:r>
      <w:r w:rsidRPr="002B063D">
        <w:rPr>
          <w:rFonts w:hint="cs"/>
          <w:sz w:val="24"/>
          <w:szCs w:val="24"/>
          <w:rtl/>
          <w:lang w:bidi="he-IL"/>
        </w:rPr>
        <w:t>רבא</w:t>
      </w:r>
      <w:r w:rsidRPr="002B063D">
        <w:rPr>
          <w:sz w:val="24"/>
          <w:szCs w:val="24"/>
          <w:lang w:bidi="he-IL"/>
        </w:rPr>
        <w:t xml:space="preserve"> –</w:t>
      </w:r>
    </w:p>
    <w:p w:rsidR="00DE2CED" w:rsidRPr="00305373" w:rsidRDefault="002B063D" w:rsidP="00DE0591">
      <w:pPr>
        <w:bidi/>
        <w:spacing w:line="276" w:lineRule="auto"/>
        <w:jc w:val="both"/>
        <w:rPr>
          <w:rFonts w:cs="David" w:hint="cs"/>
          <w:b/>
          <w:bCs/>
          <w:rtl/>
          <w:lang w:bidi="he-IL"/>
        </w:rPr>
      </w:pPr>
      <w:r w:rsidRPr="00305373">
        <w:rPr>
          <w:rFonts w:cs="David" w:hint="cs"/>
          <w:b/>
          <w:bCs/>
          <w:rtl/>
          <w:lang w:bidi="he-IL"/>
        </w:rPr>
        <w:t>מאי אתא לאשמועינן</w:t>
      </w:r>
      <w:r w:rsidR="00DE0591" w:rsidRPr="00305373">
        <w:rPr>
          <w:rFonts w:cs="David" w:hint="cs"/>
          <w:b/>
          <w:bCs/>
          <w:rtl/>
          <w:lang w:bidi="he-IL"/>
        </w:rPr>
        <w:t>:</w:t>
      </w:r>
    </w:p>
    <w:p w:rsidR="002B063D" w:rsidRDefault="00DE2CED" w:rsidP="00DE2CED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W</w:t>
      </w:r>
      <w:r w:rsidR="00851D4B">
        <w:rPr>
          <w:b/>
          <w:bCs/>
          <w:lang w:bidi="he-IL"/>
        </w:rPr>
        <w:t>h</w:t>
      </w:r>
      <w:r>
        <w:rPr>
          <w:b/>
          <w:bCs/>
          <w:lang w:bidi="he-IL"/>
        </w:rPr>
        <w:t>at</w:t>
      </w:r>
      <w:r w:rsidR="002B063D">
        <w:rPr>
          <w:b/>
          <w:bCs/>
          <w:lang w:bidi="he-IL"/>
        </w:rPr>
        <w:t xml:space="preserve"> is </w:t>
      </w:r>
      <w:r w:rsidR="002B063D">
        <w:rPr>
          <w:rFonts w:hint="cs"/>
          <w:rtl/>
          <w:lang w:bidi="he-IL"/>
        </w:rPr>
        <w:t>רבא</w:t>
      </w:r>
      <w:r w:rsidR="002B063D">
        <w:rPr>
          <w:lang w:bidi="he-IL"/>
        </w:rPr>
        <w:t xml:space="preserve"> </w:t>
      </w:r>
      <w:r w:rsidR="002B063D">
        <w:rPr>
          <w:b/>
          <w:bCs/>
          <w:lang w:bidi="he-IL"/>
        </w:rPr>
        <w:t xml:space="preserve">coming to teach us </w:t>
      </w:r>
      <w:r w:rsidR="002B063D" w:rsidRPr="002B063D">
        <w:rPr>
          <w:sz w:val="24"/>
          <w:szCs w:val="24"/>
          <w:lang w:bidi="he-IL"/>
        </w:rPr>
        <w:t>that</w:t>
      </w:r>
      <w:r w:rsidR="00851D4B">
        <w:rPr>
          <w:sz w:val="24"/>
          <w:szCs w:val="24"/>
          <w:lang w:bidi="he-IL"/>
        </w:rPr>
        <w:t xml:space="preserve"> we can derive from </w:t>
      </w:r>
      <w:r w:rsidR="00851D4B">
        <w:rPr>
          <w:rFonts w:hint="cs"/>
          <w:sz w:val="24"/>
          <w:szCs w:val="24"/>
          <w:rtl/>
          <w:lang w:bidi="he-IL"/>
        </w:rPr>
        <w:t>ר"ה</w:t>
      </w:r>
      <w:r w:rsidR="00851D4B">
        <w:rPr>
          <w:sz w:val="24"/>
          <w:szCs w:val="24"/>
          <w:lang w:bidi="he-IL"/>
        </w:rPr>
        <w:t xml:space="preserve"> that</w:t>
      </w:r>
      <w:r w:rsidR="002B063D" w:rsidRPr="002B063D">
        <w:rPr>
          <w:sz w:val="24"/>
          <w:szCs w:val="24"/>
          <w:lang w:bidi="he-IL"/>
        </w:rPr>
        <w:t xml:space="preserve"> </w:t>
      </w:r>
      <w:r w:rsidR="002B063D" w:rsidRPr="002B063D">
        <w:rPr>
          <w:rFonts w:hint="cs"/>
          <w:sz w:val="24"/>
          <w:szCs w:val="24"/>
          <w:rtl/>
          <w:lang w:bidi="he-IL"/>
        </w:rPr>
        <w:t>אין מחזיקין בנכסי קטן</w:t>
      </w:r>
      <w:r w:rsidR="00851D4B">
        <w:rPr>
          <w:sz w:val="24"/>
          <w:szCs w:val="24"/>
          <w:lang w:bidi="he-IL"/>
        </w:rPr>
        <w:t>, when</w:t>
      </w:r>
      <w:r w:rsidR="002B063D" w:rsidRPr="002B063D">
        <w:rPr>
          <w:sz w:val="24"/>
          <w:szCs w:val="24"/>
          <w:lang w:bidi="he-IL"/>
        </w:rPr>
        <w:t xml:space="preserve"> we know this already from our </w:t>
      </w:r>
      <w:r w:rsidR="002B063D" w:rsidRPr="002B063D">
        <w:rPr>
          <w:rFonts w:hint="cs"/>
          <w:sz w:val="24"/>
          <w:szCs w:val="24"/>
          <w:rtl/>
          <w:lang w:bidi="he-IL"/>
        </w:rPr>
        <w:t>משנה</w:t>
      </w:r>
      <w:r w:rsidR="002B063D" w:rsidRPr="002B063D">
        <w:rPr>
          <w:sz w:val="24"/>
          <w:szCs w:val="24"/>
          <w:lang w:bidi="he-IL"/>
        </w:rPr>
        <w:t>!</w:t>
      </w:r>
      <w:r w:rsidR="00FE5E0C">
        <w:rPr>
          <w:rStyle w:val="FootnoteReference"/>
          <w:sz w:val="24"/>
          <w:szCs w:val="24"/>
          <w:lang w:bidi="he-IL"/>
        </w:rPr>
        <w:footnoteReference w:id="4"/>
      </w:r>
    </w:p>
    <w:p w:rsidR="00FE5E0C" w:rsidRDefault="00FE5E0C" w:rsidP="005468C1">
      <w:pPr>
        <w:spacing w:line="276" w:lineRule="auto"/>
        <w:jc w:val="both"/>
        <w:rPr>
          <w:sz w:val="24"/>
          <w:szCs w:val="24"/>
          <w:lang w:bidi="he-IL"/>
        </w:rPr>
      </w:pPr>
    </w:p>
    <w:p w:rsidR="00FE5E0C" w:rsidRPr="00DE2CED" w:rsidRDefault="00FE5E0C" w:rsidP="005468C1">
      <w:pPr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DE2CED">
        <w:rPr>
          <w:rFonts w:ascii="Copperplate Gothic Bold" w:hAnsi="Copperplate Gothic Bold"/>
          <w:u w:val="double"/>
          <w:lang w:bidi="he-IL"/>
        </w:rPr>
        <w:t>Summary</w:t>
      </w:r>
    </w:p>
    <w:p w:rsidR="00FE5E0C" w:rsidRDefault="00FE5E0C" w:rsidP="005468C1">
      <w:pPr>
        <w:spacing w:line="276" w:lineRule="auto"/>
        <w:jc w:val="both"/>
        <w:rPr>
          <w:lang w:bidi="he-IL"/>
        </w:rPr>
      </w:pPr>
      <w:r>
        <w:rPr>
          <w:lang w:bidi="he-IL"/>
        </w:rPr>
        <w:lastRenderedPageBreak/>
        <w:t xml:space="preserve">The question </w:t>
      </w:r>
      <w:r>
        <w:rPr>
          <w:rFonts w:hint="cs"/>
          <w:rtl/>
          <w:lang w:bidi="he-IL"/>
        </w:rPr>
        <w:t>ורב הונא מת</w:t>
      </w:r>
      <w:r w:rsidR="00851D4B">
        <w:rPr>
          <w:rFonts w:hint="cs"/>
          <w:rtl/>
          <w:lang w:bidi="he-IL"/>
        </w:rPr>
        <w:t>נ</w:t>
      </w:r>
      <w:r>
        <w:rPr>
          <w:rFonts w:hint="cs"/>
          <w:rtl/>
          <w:lang w:bidi="he-IL"/>
        </w:rPr>
        <w:t>י</w:t>
      </w:r>
      <w:r w:rsidR="00851D4B">
        <w:rPr>
          <w:rFonts w:hint="cs"/>
          <w:rtl/>
          <w:lang w:bidi="he-IL"/>
        </w:rPr>
        <w:t>ת</w:t>
      </w:r>
      <w:r>
        <w:rPr>
          <w:rFonts w:hint="cs"/>
          <w:rtl/>
          <w:lang w:bidi="he-IL"/>
        </w:rPr>
        <w:t>ין אתי לאשמועינן</w:t>
      </w:r>
      <w:r>
        <w:rPr>
          <w:lang w:bidi="he-IL"/>
        </w:rPr>
        <w:t xml:space="preserve"> is really on </w:t>
      </w:r>
      <w:r>
        <w:rPr>
          <w:rFonts w:hint="cs"/>
          <w:rtl/>
          <w:lang w:bidi="he-IL"/>
        </w:rPr>
        <w:t>רבא</w:t>
      </w:r>
      <w:r>
        <w:rPr>
          <w:lang w:bidi="he-IL"/>
        </w:rPr>
        <w:t xml:space="preserve"> who derives the rule of </w:t>
      </w:r>
      <w:r>
        <w:rPr>
          <w:rFonts w:hint="cs"/>
          <w:rtl/>
          <w:lang w:bidi="he-IL"/>
        </w:rPr>
        <w:t>אין מחזיקין בנכסי קטן</w:t>
      </w:r>
      <w:r>
        <w:rPr>
          <w:lang w:bidi="he-IL"/>
        </w:rPr>
        <w:t xml:space="preserve"> from a ruling of </w:t>
      </w:r>
      <w:r>
        <w:rPr>
          <w:rFonts w:hint="cs"/>
          <w:rtl/>
          <w:lang w:bidi="he-IL"/>
        </w:rPr>
        <w:t>ר"ה</w:t>
      </w:r>
      <w:r>
        <w:rPr>
          <w:lang w:bidi="he-IL"/>
        </w:rPr>
        <w:t>.</w:t>
      </w:r>
    </w:p>
    <w:p w:rsidR="00FE5E0C" w:rsidRPr="00FE5E0C" w:rsidRDefault="00FE5E0C" w:rsidP="005468C1">
      <w:pPr>
        <w:spacing w:line="276" w:lineRule="auto"/>
        <w:jc w:val="both"/>
        <w:rPr>
          <w:sz w:val="24"/>
          <w:szCs w:val="24"/>
          <w:lang w:bidi="he-IL"/>
        </w:rPr>
      </w:pPr>
    </w:p>
    <w:p w:rsidR="00FE5E0C" w:rsidRPr="00DE2CED" w:rsidRDefault="00FE5E0C" w:rsidP="005468C1">
      <w:pPr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DE2CED">
        <w:rPr>
          <w:rFonts w:ascii="Copperplate Gothic Bold" w:hAnsi="Copperplate Gothic Bold"/>
          <w:u w:val="double"/>
          <w:lang w:bidi="he-IL"/>
        </w:rPr>
        <w:t>Thinking it over</w:t>
      </w:r>
    </w:p>
    <w:p w:rsidR="00FE5E0C" w:rsidRDefault="00DE0591" w:rsidP="00305373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1. </w:t>
      </w:r>
      <w:r w:rsidR="00FE5E0C">
        <w:rPr>
          <w:lang w:bidi="he-IL"/>
        </w:rPr>
        <w:t xml:space="preserve">Why did not </w:t>
      </w:r>
      <w:r w:rsidR="00FE5E0C">
        <w:rPr>
          <w:rFonts w:hint="cs"/>
          <w:rtl/>
          <w:lang w:bidi="he-IL"/>
        </w:rPr>
        <w:t>תוספות</w:t>
      </w:r>
      <w:r w:rsidR="00FE5E0C">
        <w:rPr>
          <w:lang w:bidi="he-IL"/>
        </w:rPr>
        <w:t xml:space="preserve"> ask his question when the </w:t>
      </w:r>
      <w:r w:rsidR="00FE5E0C">
        <w:rPr>
          <w:rFonts w:hint="cs"/>
          <w:rtl/>
          <w:lang w:bidi="he-IL"/>
        </w:rPr>
        <w:t>גמרא</w:t>
      </w:r>
      <w:r w:rsidR="00FE5E0C">
        <w:rPr>
          <w:lang w:bidi="he-IL"/>
        </w:rPr>
        <w:t xml:space="preserve"> </w:t>
      </w:r>
      <w:r w:rsidR="00851D4B">
        <w:rPr>
          <w:lang w:bidi="he-IL"/>
        </w:rPr>
        <w:t xml:space="preserve">initially </w:t>
      </w:r>
      <w:r w:rsidR="00FE5E0C">
        <w:rPr>
          <w:lang w:bidi="he-IL"/>
        </w:rPr>
        <w:t xml:space="preserve">said: </w:t>
      </w:r>
      <w:r w:rsidR="00FE5E0C">
        <w:rPr>
          <w:rFonts w:hint="cs"/>
          <w:rtl/>
          <w:lang w:bidi="he-IL"/>
        </w:rPr>
        <w:t>וכדר"ה דאר"ה אין מחזיקין בנכסי קטן</w:t>
      </w:r>
      <w:r w:rsidR="00305373">
        <w:rPr>
          <w:lang w:bidi="he-IL"/>
        </w:rPr>
        <w:t>?</w:t>
      </w:r>
      <w:r w:rsidR="00DE2CED">
        <w:rPr>
          <w:rStyle w:val="FootnoteReference"/>
          <w:lang w:bidi="he-IL"/>
        </w:rPr>
        <w:footnoteReference w:id="5"/>
      </w:r>
      <w:r w:rsidR="00FE5E0C">
        <w:rPr>
          <w:lang w:bidi="he-IL"/>
        </w:rPr>
        <w:t xml:space="preserve"> </w:t>
      </w:r>
      <w:r w:rsidR="00FE5E0C">
        <w:rPr>
          <w:rFonts w:hint="cs"/>
          <w:rtl/>
          <w:lang w:bidi="he-IL"/>
        </w:rPr>
        <w:t>תוספות</w:t>
      </w:r>
      <w:r w:rsidR="00FE5E0C">
        <w:rPr>
          <w:lang w:bidi="he-IL"/>
        </w:rPr>
        <w:t xml:space="preserve"> should have asked that </w:t>
      </w:r>
      <w:r w:rsidR="00FE5E0C">
        <w:rPr>
          <w:rFonts w:hint="cs"/>
          <w:rtl/>
          <w:lang w:bidi="he-IL"/>
        </w:rPr>
        <w:t>ר"ה</w:t>
      </w:r>
      <w:r w:rsidR="00FE5E0C">
        <w:rPr>
          <w:lang w:bidi="he-IL"/>
        </w:rPr>
        <w:t xml:space="preserve"> never said it.</w:t>
      </w:r>
    </w:p>
    <w:p w:rsidR="00DE0591" w:rsidRDefault="00DE0591" w:rsidP="005468C1">
      <w:pPr>
        <w:spacing w:line="276" w:lineRule="auto"/>
        <w:jc w:val="both"/>
        <w:rPr>
          <w:lang w:bidi="he-IL"/>
        </w:rPr>
      </w:pPr>
    </w:p>
    <w:p w:rsidR="00DE0591" w:rsidRPr="00FE5E0C" w:rsidRDefault="00DE0591" w:rsidP="005468C1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2. How are we to understand the (first) answer of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that </w:t>
      </w:r>
      <w:r>
        <w:rPr>
          <w:rFonts w:hint="cs"/>
          <w:rtl/>
          <w:lang w:bidi="he-IL"/>
        </w:rPr>
        <w:t>'ר"ה דיוקא 'דמתניתין קאמר</w:t>
      </w:r>
      <w:r>
        <w:rPr>
          <w:lang w:bidi="he-IL"/>
        </w:rPr>
        <w:t>?</w:t>
      </w:r>
      <w:r>
        <w:rPr>
          <w:rStyle w:val="FootnoteReference"/>
          <w:lang w:bidi="he-IL"/>
        </w:rPr>
        <w:footnoteReference w:id="6"/>
      </w:r>
    </w:p>
    <w:sectPr w:rsidR="00DE0591" w:rsidRPr="00FE5E0C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43AC" w:rsidRDefault="00C543AC">
      <w:r>
        <w:separator/>
      </w:r>
    </w:p>
  </w:endnote>
  <w:endnote w:type="continuationSeparator" w:id="0">
    <w:p w:rsidR="00C543AC" w:rsidRDefault="00C543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2CED" w:rsidRDefault="00DE2CED">
    <w:pPr>
      <w:pStyle w:val="Footer"/>
      <w:jc w:val="center"/>
      <w:rPr>
        <w:noProof/>
        <w:sz w:val="16"/>
        <w:szCs w:val="16"/>
      </w:rPr>
    </w:pPr>
    <w:r w:rsidRPr="00DE2CED">
      <w:rPr>
        <w:sz w:val="20"/>
        <w:szCs w:val="20"/>
      </w:rPr>
      <w:fldChar w:fldCharType="begin"/>
    </w:r>
    <w:r w:rsidRPr="00DE2CED">
      <w:rPr>
        <w:sz w:val="20"/>
        <w:szCs w:val="20"/>
      </w:rPr>
      <w:instrText xml:space="preserve"> PAGE   \* MERGEFORMAT </w:instrText>
    </w:r>
    <w:r w:rsidRPr="00DE2CED">
      <w:rPr>
        <w:sz w:val="20"/>
        <w:szCs w:val="20"/>
      </w:rPr>
      <w:fldChar w:fldCharType="separate"/>
    </w:r>
    <w:r w:rsidR="00FA7726">
      <w:rPr>
        <w:noProof/>
        <w:sz w:val="20"/>
        <w:szCs w:val="20"/>
      </w:rPr>
      <w:t>2</w:t>
    </w:r>
    <w:r w:rsidRPr="00DE2CED">
      <w:rPr>
        <w:noProof/>
        <w:sz w:val="20"/>
        <w:szCs w:val="20"/>
      </w:rPr>
      <w:fldChar w:fldCharType="end"/>
    </w:r>
  </w:p>
  <w:p w:rsidR="00DE2CED" w:rsidRPr="00DE2CED" w:rsidRDefault="00DE2CED">
    <w:pPr>
      <w:pStyle w:val="Footer"/>
      <w:jc w:val="center"/>
      <w:rPr>
        <w:sz w:val="16"/>
        <w:szCs w:val="16"/>
      </w:rPr>
    </w:pPr>
    <w:r>
      <w:rPr>
        <w:noProof/>
        <w:sz w:val="16"/>
        <w:szCs w:val="16"/>
      </w:rPr>
      <w:t>TosfosInEnglish.com</w:t>
    </w:r>
  </w:p>
  <w:p w:rsidR="007878DC" w:rsidRPr="0008499E" w:rsidRDefault="007878DC" w:rsidP="0008499E">
    <w:pPr>
      <w:pStyle w:val="Footer"/>
      <w:jc w:val="center"/>
      <w:rPr>
        <w:sz w:val="16"/>
        <w:szCs w:val="16"/>
        <w:lang w:bidi="he-I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43AC" w:rsidRDefault="00C543AC">
      <w:r>
        <w:separator/>
      </w:r>
    </w:p>
  </w:footnote>
  <w:footnote w:type="continuationSeparator" w:id="0">
    <w:p w:rsidR="00C543AC" w:rsidRDefault="00C543AC">
      <w:r>
        <w:continuationSeparator/>
      </w:r>
    </w:p>
  </w:footnote>
  <w:footnote w:id="1">
    <w:p w:rsidR="005468C1" w:rsidRDefault="005468C1" w:rsidP="00DE0591">
      <w:pPr>
        <w:pStyle w:val="FootnoteText"/>
        <w:spacing w:line="264" w:lineRule="auto"/>
        <w:jc w:val="both"/>
      </w:pPr>
      <w:r>
        <w:rPr>
          <w:rStyle w:val="FootnoteReference"/>
        </w:rPr>
        <w:footnoteRef/>
      </w:r>
      <w:r>
        <w:t xml:space="preserve"> </w:t>
      </w:r>
      <w:r w:rsidRPr="005468C1">
        <w:rPr>
          <w:rFonts w:hint="cs"/>
          <w:rtl/>
          <w:lang w:bidi="he-IL"/>
        </w:rPr>
        <w:t>בבא מציעא לט,א</w:t>
      </w:r>
    </w:p>
  </w:footnote>
  <w:footnote w:id="2">
    <w:p w:rsidR="007878DC" w:rsidRDefault="007878DC" w:rsidP="00DE0591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ר"ה</w:t>
      </w:r>
      <w:r>
        <w:rPr>
          <w:lang w:bidi="he-IL"/>
        </w:rPr>
        <w:t xml:space="preserve"> maintains that we do not appoint a relative to administer the estate of a minor, out of concern that the relative may eventually claim that he is the proper heir to the estate, and not the minor.</w:t>
      </w:r>
    </w:p>
  </w:footnote>
  <w:footnote w:id="3">
    <w:p w:rsidR="00DE2CED" w:rsidRDefault="00DE2CED" w:rsidP="00DE0591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If the rule would be that </w:t>
      </w:r>
      <w:r>
        <w:rPr>
          <w:rFonts w:hint="cs"/>
          <w:rtl/>
          <w:lang w:bidi="he-IL"/>
        </w:rPr>
        <w:t>מחזיקין בנכסי קטן</w:t>
      </w:r>
      <w:r>
        <w:rPr>
          <w:lang w:bidi="he-IL"/>
        </w:rPr>
        <w:t xml:space="preserve">, then why does </w:t>
      </w:r>
      <w:r>
        <w:rPr>
          <w:rFonts w:hint="cs"/>
          <w:rtl/>
          <w:lang w:bidi="he-IL"/>
        </w:rPr>
        <w:t>ר"ה</w:t>
      </w:r>
      <w:r>
        <w:rPr>
          <w:lang w:bidi="he-IL"/>
        </w:rPr>
        <w:t xml:space="preserve"> merely state that </w:t>
      </w:r>
      <w:r>
        <w:rPr>
          <w:rFonts w:hint="cs"/>
          <w:rtl/>
          <w:lang w:bidi="he-IL"/>
        </w:rPr>
        <w:t>אין מורידין קרוב לנכסי קטן</w:t>
      </w:r>
      <w:r>
        <w:rPr>
          <w:lang w:bidi="he-IL"/>
        </w:rPr>
        <w:t xml:space="preserve">, we cannot appoint anyone to administer the minor’s estate; out of concern that they may later claim that they bought it from the father and they have a </w:t>
      </w:r>
      <w:r>
        <w:rPr>
          <w:rFonts w:hint="cs"/>
          <w:rtl/>
          <w:lang w:bidi="he-IL"/>
        </w:rPr>
        <w:t>חזקת ג' שנים</w:t>
      </w:r>
      <w:r>
        <w:rPr>
          <w:lang w:bidi="he-IL"/>
        </w:rPr>
        <w:t>.</w:t>
      </w:r>
    </w:p>
  </w:footnote>
  <w:footnote w:id="4">
    <w:p w:rsidR="00FE5E0C" w:rsidRDefault="00FE5E0C" w:rsidP="00DE0591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 w:rsidR="00851D4B">
        <w:t>Presumably t</w:t>
      </w:r>
      <w:r>
        <w:t xml:space="preserve">he reason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</w:t>
      </w:r>
      <w:r w:rsidR="00851D4B">
        <w:rPr>
          <w:lang w:bidi="he-IL"/>
        </w:rPr>
        <w:t>mentions</w:t>
      </w:r>
      <w:r>
        <w:rPr>
          <w:lang w:bidi="he-IL"/>
        </w:rPr>
        <w:t xml:space="preserve"> </w:t>
      </w:r>
      <w:r>
        <w:rPr>
          <w:rFonts w:hint="cs"/>
          <w:rtl/>
          <w:lang w:bidi="he-IL"/>
        </w:rPr>
        <w:t>ר"ה</w:t>
      </w:r>
      <w:r w:rsidR="00851D4B">
        <w:rPr>
          <w:lang w:bidi="he-IL"/>
        </w:rPr>
        <w:t>,</w:t>
      </w:r>
      <w:r>
        <w:rPr>
          <w:lang w:bidi="he-IL"/>
        </w:rPr>
        <w:t xml:space="preserve"> is because </w:t>
      </w:r>
      <w:r>
        <w:rPr>
          <w:rFonts w:hint="cs"/>
          <w:rtl/>
          <w:lang w:bidi="he-IL"/>
        </w:rPr>
        <w:t>רבא</w:t>
      </w:r>
      <w:r>
        <w:rPr>
          <w:lang w:bidi="he-IL"/>
        </w:rPr>
        <w:t xml:space="preserve"> derives it from </w:t>
      </w:r>
      <w:r>
        <w:rPr>
          <w:rFonts w:hint="cs"/>
          <w:rtl/>
          <w:lang w:bidi="he-IL"/>
        </w:rPr>
        <w:t>ר"ה</w:t>
      </w:r>
      <w:r>
        <w:rPr>
          <w:lang w:bidi="he-IL"/>
        </w:rPr>
        <w:t xml:space="preserve"> (and [also] because initially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stated </w:t>
      </w:r>
      <w:r>
        <w:rPr>
          <w:rFonts w:hint="cs"/>
          <w:rtl/>
          <w:lang w:bidi="he-IL"/>
        </w:rPr>
        <w:t>וכדר"ה דאר"ה אין מחזיקין וכו'</w:t>
      </w:r>
      <w:r>
        <w:rPr>
          <w:lang w:bidi="he-IL"/>
        </w:rPr>
        <w:t>. See ‘Thinking it over’</w:t>
      </w:r>
      <w:r w:rsidR="00DE0591">
        <w:rPr>
          <w:lang w:bidi="he-IL"/>
        </w:rPr>
        <w:t xml:space="preserve"> # 1</w:t>
      </w:r>
      <w:r>
        <w:rPr>
          <w:lang w:bidi="he-IL"/>
        </w:rPr>
        <w:t>).</w:t>
      </w:r>
    </w:p>
  </w:footnote>
  <w:footnote w:id="5">
    <w:p w:rsidR="00DE2CED" w:rsidRDefault="00DE2CED" w:rsidP="00DE0591">
      <w:pPr>
        <w:pStyle w:val="FootnoteText"/>
        <w:spacing w:line="264" w:lineRule="auto"/>
        <w:jc w:val="both"/>
      </w:pPr>
      <w:r>
        <w:rPr>
          <w:rStyle w:val="FootnoteReference"/>
        </w:rPr>
        <w:footnoteRef/>
      </w:r>
      <w:r>
        <w:t xml:space="preserve"> See footnote # </w:t>
      </w:r>
      <w:r w:rsidR="00DE0591">
        <w:rPr>
          <w:rFonts w:hint="cs"/>
          <w:rtl/>
          <w:lang w:bidi="he-IL"/>
        </w:rPr>
        <w:t>4</w:t>
      </w:r>
      <w:r>
        <w:t>.</w:t>
      </w:r>
    </w:p>
  </w:footnote>
  <w:footnote w:id="6">
    <w:p w:rsidR="00DE0591" w:rsidRDefault="00DE0591" w:rsidP="00DE0591">
      <w:pPr>
        <w:pStyle w:val="FootnoteText"/>
        <w:spacing w:line="264" w:lineRule="auto"/>
        <w:jc w:val="both"/>
        <w:rPr>
          <w:rFonts w:hint="cs"/>
          <w:rtl/>
          <w:lang w:bidi="he-IL"/>
        </w:rPr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  <w:lang w:bidi="he-IL"/>
        </w:rPr>
        <w:t>מהרש"א</w:t>
      </w:r>
      <w:r>
        <w:rPr>
          <w:lang w:bidi="he-IL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78DC" w:rsidRPr="0008499E" w:rsidRDefault="007878DC" w:rsidP="0008499E">
    <w:pPr>
      <w:pStyle w:val="Header"/>
      <w:jc w:val="right"/>
      <w:rPr>
        <w:rFonts w:hint="cs"/>
        <w:sz w:val="24"/>
        <w:szCs w:val="24"/>
        <w:rtl/>
        <w:lang w:bidi="he-IL"/>
      </w:rPr>
    </w:pPr>
    <w:r>
      <w:rPr>
        <w:rFonts w:hint="cs"/>
        <w:sz w:val="24"/>
        <w:szCs w:val="24"/>
        <w:rtl/>
        <w:lang w:bidi="he-IL"/>
      </w:rPr>
      <w:t>בס"ד. כתובות יז,ב תוס' ד"ה ורב הונא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8499E"/>
    <w:rsid w:val="0008499E"/>
    <w:rsid w:val="00184D2E"/>
    <w:rsid w:val="0020216B"/>
    <w:rsid w:val="00210A1E"/>
    <w:rsid w:val="002B063D"/>
    <w:rsid w:val="00305373"/>
    <w:rsid w:val="003F6705"/>
    <w:rsid w:val="005468C1"/>
    <w:rsid w:val="007552E7"/>
    <w:rsid w:val="007878DC"/>
    <w:rsid w:val="00851D4B"/>
    <w:rsid w:val="0089054C"/>
    <w:rsid w:val="009418B0"/>
    <w:rsid w:val="00A67C4C"/>
    <w:rsid w:val="00AD73DC"/>
    <w:rsid w:val="00C543AC"/>
    <w:rsid w:val="00D54370"/>
    <w:rsid w:val="00D80DE2"/>
    <w:rsid w:val="00DE0591"/>
    <w:rsid w:val="00DE2CED"/>
    <w:rsid w:val="00FA7726"/>
    <w:rsid w:val="00FE5E0C"/>
    <w:rsid w:val="00FF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CB1ECC5-0BAC-4E7B-99DE-23A3E46CD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  <w:lang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08499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08499E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7878DC"/>
    <w:rPr>
      <w:sz w:val="20"/>
      <w:szCs w:val="20"/>
    </w:rPr>
  </w:style>
  <w:style w:type="character" w:styleId="FootnoteReference">
    <w:name w:val="footnote reference"/>
    <w:semiHidden/>
    <w:rsid w:val="007878DC"/>
    <w:rPr>
      <w:vertAlign w:val="superscript"/>
    </w:rPr>
  </w:style>
  <w:style w:type="character" w:customStyle="1" w:styleId="FooterChar">
    <w:name w:val="Footer Char"/>
    <w:link w:val="Footer"/>
    <w:uiPriority w:val="99"/>
    <w:rsid w:val="00DE2CED"/>
    <w:rPr>
      <w:sz w:val="28"/>
      <w:szCs w:val="2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ורב הונא מתניתין אתא לאשמועינן – Is ר"ה coming to teach us what we learnt in our משנה</vt:lpstr>
    </vt:vector>
  </TitlesOfParts>
  <Company> </Company>
  <LinksUpToDate>false</LinksUpToDate>
  <CharactersWithSpaces>1837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ורב הונא מתניתין אתא לאשמועינן – Is ר"ה coming to teach us what we learnt in our משנה</dc:title>
  <dc:subject/>
  <dc:creator> </dc:creator>
  <cp:keywords/>
  <dc:description/>
  <cp:lastModifiedBy>Microsoft account</cp:lastModifiedBy>
  <cp:revision>2</cp:revision>
  <dcterms:created xsi:type="dcterms:W3CDTF">2022-04-05T10:49:00Z</dcterms:created>
  <dcterms:modified xsi:type="dcterms:W3CDTF">2022-04-05T10:49:00Z</dcterms:modified>
</cp:coreProperties>
</file>