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76"/>
        <w:jc w:val="left"/>
      </w:pPr>
      <w:r>
        <w:rPr>
          <w:rFonts w:ascii="Times New Roman" w:cs="Times New Roman" w:eastAsia="Times New Roman" w:hAnsi="Times New Roman"/>
          <w:b w:val="false"/>
          <w:bCs w:val="false"/>
          <w:sz w:val="22"/>
          <w:szCs w:val="22"/>
        </w:rPr>
        <w:t xml:space="preserve">20 July 2026</w:t>
      </w:r>
    </w:p>
    <w:p>
      <w:pPr>
        <w:spacing w:after="0" w:line="276"/>
        <w:jc w:val="left"/>
      </w:pPr>
      <w:r>
        <w:rPr>
          <w:rFonts w:ascii="Times New Roman" w:cs="Times New Roman" w:eastAsia="Times New Roman" w:hAnsi="Times New Roman"/>
          <w:b w:val="false"/>
          <w:bCs w:val="false"/>
          <w:sz w:val="22"/>
          <w:szCs w:val="22"/>
        </w:rPr>
        <w:t xml:space="preserve">Prof. Mehrdad Saif</w:t>
      </w:r>
    </w:p>
    <w:p>
      <w:pPr>
        <w:spacing w:after="0" w:line="276"/>
        <w:jc w:val="left"/>
      </w:pPr>
      <w:r>
        <w:rPr>
          <w:rFonts w:ascii="Times New Roman" w:cs="Times New Roman" w:eastAsia="Times New Roman" w:hAnsi="Times New Roman"/>
          <w:b w:val="false"/>
          <w:bCs w:val="false"/>
          <w:sz w:val="22"/>
          <w:szCs w:val="22"/>
        </w:rPr>
        <w:t xml:space="preserve">Editor-in-Chief, IEEE Access</w:t>
      </w:r>
    </w:p>
    <w:p>
      <w:pPr>
        <w:spacing w:after="300" w:line="276"/>
        <w:jc w:val="left"/>
      </w:pPr>
      <w:r>
        <w:rPr>
          <w:rFonts w:ascii="Times New Roman" w:cs="Times New Roman" w:eastAsia="Times New Roman" w:hAnsi="Times New Roman"/>
          <w:b w:val="false"/>
          <w:bCs w:val="false"/>
          <w:sz w:val="22"/>
          <w:szCs w:val="22"/>
        </w:rPr>
        <w:t xml:space="preserve">University of Windsor, Ontario, Canada</w:t>
      </w:r>
    </w:p>
    <w:p>
      <w:pPr>
        <w:spacing w:after="240" w:line="276"/>
        <w:jc w:val="left"/>
      </w:pPr>
      <w:r>
        <w:rPr>
          <w:rFonts w:ascii="Times New Roman" w:cs="Times New Roman" w:eastAsia="Times New Roman" w:hAnsi="Times New Roman"/>
          <w:b w:val="false"/>
          <w:bCs w:val="false"/>
          <w:sz w:val="22"/>
          <w:szCs w:val="22"/>
        </w:rPr>
        <w:t xml:space="preserve">Dear Prof. Saif,</w:t>
      </w:r>
    </w:p>
    <w:p>
      <w:pPr>
        <w:spacing w:after="200" w:line="276"/>
        <w:jc w:val="left"/>
      </w:pPr>
      <w:r>
        <w:rPr>
          <w:rFonts w:ascii="Times New Roman" w:cs="Times New Roman" w:eastAsia="Times New Roman" w:hAnsi="Times New Roman"/>
          <w:b w:val="false"/>
          <w:bCs w:val="false"/>
          <w:sz w:val="22"/>
          <w:szCs w:val="22"/>
        </w:rPr>
        <w:t xml:space="preserve">We submit our manuscript, “Beyond In-Domain Accuracy: Cross-Corpus Bengali Sarcasm Detection Under Normalized Exact-Match Control,” for consideration as an Original Research Article.</w:t>
      </w:r>
    </w:p>
    <w:p>
      <w:pPr>
        <w:spacing w:after="200" w:line="276"/>
        <w:jc w:val="left"/>
      </w:pPr>
      <w:r>
        <w:rPr>
          <w:rFonts w:ascii="Times New Roman" w:cs="Times New Roman" w:eastAsia="Times New Roman" w:hAnsi="Times New Roman"/>
          <w:b w:val="false"/>
          <w:bCs w:val="false"/>
          <w:sz w:val="22"/>
          <w:szCs w:val="22"/>
        </w:rPr>
        <w:t xml:space="preserve">Published Bengali sarcasm detectors report strong in-domain scores, but none has been tested against a second Bengali corpus. We ask whether that accuracy survives the move. After deduplicating three corpora (Ben-Sarc, BanglaSarc, BanglaSarc3) with one auditable exact-match rule before splitting, we train a 2×3×5 grid of BanglaBERT models and score each on every target — 90 source–target evaluations in all. The result is a large, asymmetric gap: FGM averages 0.8465 macro-F1 in-domain but only 0.5364 across corpora, and the corpus that looks best in-domain transfers worst. We report it with paired uncertainty and are explicit about what five seeds cannot settle. The contribution is the evaluation, not a new architecture.</w:t>
      </w:r>
    </w:p>
    <w:p>
      <w:pPr>
        <w:spacing w:after="200" w:line="276"/>
        <w:jc w:val="left"/>
      </w:pPr>
      <w:r>
        <w:rPr>
          <w:rFonts w:ascii="Times New Roman" w:cs="Times New Roman" w:eastAsia="Times New Roman" w:hAnsi="Times New Roman"/>
          <w:b w:val="false"/>
          <w:bCs w:val="false"/>
          <w:sz w:val="22"/>
          <w:szCs w:val="22"/>
        </w:rPr>
        <w:t xml:space="preserve">The work suits the broad, applications-oriented scope of IEEE Access on two counts. The lesson — an in-domain score is not a deployment guarantee — carries past Bengali and past sarcasm, and the study is fully reproducible from the public repository, which holds the code, the 90-cell record, text-free prediction files, and hashed split manifests with SHA-256 checksums. Source corpora are not redistributed and remain under their original licenses.</w:t>
      </w:r>
    </w:p>
    <w:p>
      <w:pPr>
        <w:spacing w:after="200" w:line="276"/>
        <w:jc w:val="left"/>
      </w:pPr>
      <w:r>
        <w:rPr>
          <w:rFonts w:ascii="Times New Roman" w:cs="Times New Roman" w:eastAsia="Times New Roman" w:hAnsi="Times New Roman"/>
          <w:b w:val="false"/>
          <w:bCs w:val="false"/>
          <w:sz w:val="22"/>
          <w:szCs w:val="22"/>
        </w:rPr>
        <w:t xml:space="preserve">The manuscript is original, unpublished, and not under review elsewhere, and all authors approve the submission. The work was self-funded with no conflict of interest, as stated on the first page. AI assistants were used only for language and grammar, as disclosed in the Acknowledgment. The LaTeX source, prepared in TeXPage, compiles cleanly under pdfLaTeX.</w:t>
      </w:r>
    </w:p>
    <w:p>
      <w:pPr>
        <w:spacing w:after="300" w:line="276"/>
        <w:jc w:val="left"/>
      </w:pPr>
      <w:r>
        <w:rPr>
          <w:rFonts w:ascii="Times New Roman" w:cs="Times New Roman" w:eastAsia="Times New Roman" w:hAnsi="Times New Roman"/>
          <w:b w:val="false"/>
          <w:bCs w:val="false"/>
          <w:sz w:val="22"/>
          <w:szCs w:val="22"/>
        </w:rPr>
        <w:t xml:space="preserve">Please direct correspondence to Muhammad E. H. Chowdhury (mchowdhury@qu.edu.qa). Thank you for your consideration.</w:t>
      </w:r>
    </w:p>
    <w:p>
      <w:pPr>
        <w:spacing w:after="360" w:line="276"/>
        <w:jc w:val="left"/>
      </w:pPr>
      <w:r>
        <w:rPr>
          <w:rFonts w:ascii="Times New Roman" w:cs="Times New Roman" w:eastAsia="Times New Roman" w:hAnsi="Times New Roman"/>
          <w:b w:val="false"/>
          <w:bCs w:val="false"/>
          <w:sz w:val="22"/>
          <w:szCs w:val="22"/>
        </w:rPr>
        <w:t xml:space="preserve">Sincerely,</w:t>
      </w:r>
    </w:p>
    <w:p>
      <w:pPr>
        <w:spacing w:after="0" w:line="276"/>
        <w:jc w:val="left"/>
      </w:pPr>
      <w:r>
        <w:rPr>
          <w:rFonts w:ascii="Times New Roman" w:cs="Times New Roman" w:eastAsia="Times New Roman" w:hAnsi="Times New Roman"/>
          <w:b w:val="false"/>
          <w:bCs w:val="false"/>
          <w:sz w:val="22"/>
          <w:szCs w:val="22"/>
        </w:rPr>
        <w:t xml:space="preserve">Muhammad E. H. Chowdhury (Corresponding Author)</w:t>
      </w:r>
    </w:p>
    <w:p>
      <w:pPr>
        <w:spacing w:after="0" w:line="276"/>
        <w:jc w:val="left"/>
      </w:pPr>
      <w:r>
        <w:rPr>
          <w:rFonts w:ascii="Times New Roman" w:cs="Times New Roman" w:eastAsia="Times New Roman" w:hAnsi="Times New Roman"/>
          <w:b w:val="false"/>
          <w:bCs w:val="false"/>
          <w:sz w:val="22"/>
          <w:szCs w:val="22"/>
        </w:rPr>
        <w:t xml:space="preserve">on behalf of K. S. Alam, M. R. Islam, and M. F. Ahamed</w:t>
      </w:r>
    </w:p>
    <w:p>
      <w:pPr>
        <w:spacing w:after="0" w:line="276"/>
        <w:jc w:val="left"/>
      </w:pPr>
      <w:r>
        <w:rPr>
          <w:rFonts w:ascii="Times New Roman" w:cs="Times New Roman" w:eastAsia="Times New Roman" w:hAnsi="Times New Roman"/>
          <w:b w:val="false"/>
          <w:bCs w:val="false"/>
          <w:sz w:val="22"/>
          <w:szCs w:val="22"/>
        </w:rPr>
        <w:t xml:space="preserve">Department of Electrical Engineering, Qatar University, Doha, Qatar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Beyond In-Domain Accuracy</dc:title>
  <dc:creator>Muhammad E. H. Chowdhury</dc:creator>
  <cp:lastModifiedBy>Un-named</cp:lastModifiedBy>
  <cp:revision>1</cp:revision>
  <dcterms:created xsi:type="dcterms:W3CDTF">2026-07-20T09:25:16.877Z</dcterms:created>
  <dcterms:modified xsi:type="dcterms:W3CDTF">2026-07-20T09:25:16.899Z</dcterms:modified>
</cp:coreProperties>
</file>

<file path=docProps/custom.xml><?xml version="1.0" encoding="utf-8"?>
<Properties xmlns="http://schemas.openxmlformats.org/officeDocument/2006/custom-properties" xmlns:vt="http://schemas.openxmlformats.org/officeDocument/2006/docPropsVTypes"/>
</file>