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lanTitle"/>
        <w:jc w:val="center"/>
      </w:pPr>
      <w:r>
        <w:t>Grand Plan &amp; Best-Result Pipeline</w:t>
        <w:br/>
      </w:r>
      <w:r>
        <w:rPr>
          <w:sz w:val="38"/>
        </w:rPr>
        <w:t>Bangla Cyberbullying Detection Research Paper</w:t>
      </w:r>
    </w:p>
    <w:p>
      <w:pPr>
        <w:jc w:val="center"/>
      </w:pPr>
      <w:r>
        <w:rPr>
          <w:i/>
          <w:color w:val="5A5A5A"/>
          <w:sz w:val="21"/>
        </w:rPr>
        <w:t>Target outcome: a benchmark + method paper strong enough for serious Q1 journal / top conference submission.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8F0"/>
          <w:left w:val="single" w:sz="8" w:space="0" w:color="C9D8F0"/>
          <w:bottom w:val="single" w:sz="8" w:space="0" w:color="C9D8F0"/>
          <w:right w:val="single" w:sz="8" w:space="0" w:color="C9D8F0"/>
          <w:insideH w:val="single" w:sz="8" w:space="0" w:color="C9D8F0"/>
          <w:insideV w:val="single" w:sz="8" w:space="0" w:color="C9D8F0"/>
        </w:tblBorders>
      </w:tblPr>
      <w:tblGrid>
        <w:gridCol w:w="9792"/>
      </w:tblGrid>
      <w:tr>
        <w:tc>
          <w:tcPr>
            <w:tcW w:type="dxa" w:w="9792"/>
            <w:shd w:fill="ED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b/>
              </w:rPr>
              <w:t xml:space="preserve">Core strategy: </w:t>
            </w:r>
            <w:r>
              <w:t>build a multi-source Bangla cyberbullying benchmark, add a new hard annotated slice, fine-tune BanglaBERT + MuRIL + XLM-R/IndicBERTv2, and use a multi-task ensemble that is tested across source, script, and domain shift.</w:t>
            </w:r>
          </w:p>
        </w:tc>
      </w:tr>
    </w:tbl>
    <w:p/>
    <w:p>
      <w:pPr>
        <w:pStyle w:val="SectionHeading"/>
      </w:pPr>
      <w:r>
        <w:t>1. Grand Plan</w:t>
      </w:r>
    </w:p>
    <w:p>
      <w:pPr>
        <w:spacing w:after="80" w:line="240" w:lineRule="auto"/>
        <w:ind w:left="216" w:hanging="216"/>
      </w:pPr>
      <w:r>
        <w:rPr>
          <w:b/>
        </w:rPr>
        <w:t xml:space="preserve">• Benchmark first: </w:t>
      </w:r>
      <w:r>
        <w:t>Merge the strongest public Bangla cyberbullying / abuse datasets into one unified schema instead of relying on a single dataset.</w:t>
      </w:r>
    </w:p>
    <w:p>
      <w:pPr>
        <w:spacing w:after="80" w:line="240" w:lineRule="auto"/>
        <w:ind w:left="216" w:hanging="216"/>
      </w:pPr>
      <w:r>
        <w:rPr>
          <w:b/>
        </w:rPr>
        <w:t xml:space="preserve">• Add new data: </w:t>
      </w:r>
      <w:r>
        <w:t>Annotate a new hard slice (recommended: 3k-10k comments) with Romanized Bangla, slang, sarcasm, indirect abuse, and platform diversity.</w:t>
      </w:r>
    </w:p>
    <w:p>
      <w:pPr>
        <w:spacing w:after="80" w:line="240" w:lineRule="auto"/>
        <w:ind w:left="216" w:hanging="216"/>
      </w:pPr>
      <w:r>
        <w:rPr>
          <w:b/>
        </w:rPr>
        <w:t xml:space="preserve">• Model more than binary: </w:t>
      </w:r>
      <w:r>
        <w:t>Predict harmful vs non-harmful, abuse type, and severity so the paper is richer and more useful than standard yes/no detection.</w:t>
      </w:r>
    </w:p>
    <w:p>
      <w:pPr>
        <w:spacing w:after="80" w:line="240" w:lineRule="auto"/>
        <w:ind w:left="216" w:hanging="216"/>
      </w:pPr>
      <w:r>
        <w:rPr>
          <w:b/>
        </w:rPr>
        <w:t xml:space="preserve">• Train the strongest encoders: </w:t>
      </w:r>
      <w:r>
        <w:t>Use BanglaBERT as the main backbone, then add MuRIL and XLM-R or IndicBERTv2 for transliteration and generalization.</w:t>
      </w:r>
    </w:p>
    <w:p>
      <w:pPr>
        <w:spacing w:after="80" w:line="240" w:lineRule="auto"/>
        <w:ind w:left="216" w:hanging="216"/>
      </w:pPr>
      <w:r>
        <w:rPr>
          <w:b/>
        </w:rPr>
        <w:t xml:space="preserve">• Win on evaluation: </w:t>
      </w:r>
      <w:r>
        <w:t>Show strong in-domain performance plus source-held-out, script-held-out, and external-dataset robustness.</w:t>
      </w:r>
    </w:p>
    <w:p>
      <w:pPr>
        <w:spacing w:after="80" w:line="240" w:lineRule="auto"/>
        <w:ind w:left="216" w:hanging="216"/>
      </w:pPr>
      <w:r>
        <w:rPr>
          <w:b/>
        </w:rPr>
        <w:t xml:space="preserve">• Make it reproducible: </w:t>
      </w:r>
      <w:r>
        <w:t>Release code, splits, annotation guidelines, and ablations so reviewers see a serious benchmark paper rather than a narrow model paper.</w:t>
      </w:r>
    </w:p>
    <w:p>
      <w:pPr>
        <w:pStyle w:val="SectionHeading"/>
      </w:pPr>
      <w:r>
        <w:t>2. Execution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8F0"/>
          <w:left w:val="single" w:sz="8" w:space="0" w:color="C9D8F0"/>
          <w:bottom w:val="single" w:sz="8" w:space="0" w:color="C9D8F0"/>
          <w:right w:val="single" w:sz="8" w:space="0" w:color="C9D8F0"/>
          <w:insideH w:val="single" w:sz="8" w:space="0" w:color="C9D8F0"/>
          <w:insideV w:val="single" w:sz="8" w:space="0" w:color="C9D8F0"/>
        </w:tblBorders>
      </w:tblPr>
      <w:tblGrid>
        <w:gridCol w:w="1152"/>
        <w:gridCol w:w="2592"/>
        <w:gridCol w:w="6048"/>
      </w:tblGrid>
      <w:tr>
        <w:tc>
          <w:tcPr>
            <w:tcW w:type="dxa" w:w="3264"/>
            <w:shd w:fill="DCE6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16346B"/>
              </w:rPr>
              <w:t>Stage</w:t>
            </w:r>
          </w:p>
        </w:tc>
        <w:tc>
          <w:tcPr>
            <w:tcW w:type="dxa" w:w="3264"/>
            <w:shd w:fill="DCE6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16346B"/>
              </w:rPr>
              <w:t>Module</w:t>
            </w:r>
          </w:p>
        </w:tc>
        <w:tc>
          <w:tcPr>
            <w:tcW w:type="dxa" w:w="3264"/>
            <w:shd w:fill="DCE6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16346B"/>
              </w:rPr>
              <w:t>What we do for best results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Task design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Define 3 tasks: binary harmful detection, abuse-type prediction, and severity prediction.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r>
              <w:rPr>
                <w:b/>
              </w:rPr>
              <w:t>Data build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r>
              <w:t>Merge public datasets into one schema and add a new annotated hard slice with Romanized Bangla, slang, sarcasm, and multi-platform comments.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Preprocessing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Apply light normalization: Unicode cleanup, emoji mapping, repeated-character reduction, URL/mention masking, and Banglish normalization.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r>
              <w:rPr>
                <w:b/>
              </w:rPr>
              <w:t>Data splits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r>
              <w:t>Create random split, source-held-out split, script-held-out split, and external-test setup.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Baselines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 TF-IDF + Logistic Regression / SVM, then BiLSTM or similar neural baseline.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r>
              <w:rPr>
                <w:b/>
              </w:rPr>
              <w:t>Main models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r>
              <w:t>Fine-tune BanglaBERT, MuRIL, and XLM-R or IndicBERTv2 with identical training settings.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Training tricks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Use class-balanced or focal loss, weighted sampling, layer-wise LR decay, mixed precision, 5-fold CV, seed averaging, early stopping on macro-F1, and threshold tuning.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r>
              <w:rPr>
                <w:b/>
              </w:rPr>
              <w:t>Final system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r>
              <w:t>Ensemble the transformer outputs using weighted logits averaging; test stacking with a small meta-learner only if it improves Macro-F1 consistently.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Evaluation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Report Macro-F1 as the main metric, then Micro/Weighted-F1, MCC, AUROC/AUPRC, confusion matrix, and class-wise breakdown.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r>
              <w:rPr>
                <w:b/>
              </w:rPr>
              <w:t>Ablations &amp; errors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r>
              <w:t>Show single-model vs ensemble, binary-only vs multi-task, with/without new data, with/without normalization, and perform qualitative error analysis.</w:t>
            </w:r>
          </w:p>
        </w:tc>
      </w:tr>
    </w:tbl>
    <w:p>
      <w:pPr>
        <w:pStyle w:val="SectionHeading"/>
      </w:pPr>
      <w:r>
        <w:t>3. Final Model Recipe</w:t>
      </w:r>
    </w:p>
    <w:p>
      <w:pPr>
        <w:spacing w:after="60"/>
        <w:ind w:left="288" w:hanging="259"/>
      </w:pPr>
      <w:r>
        <w:rPr>
          <w:b/>
        </w:rPr>
        <w:t xml:space="preserve">– </w:t>
      </w:r>
      <w:r>
        <w:t>Primary encoders: BanglaBERT + MuRIL + XLM-R or IndicBERTv2.</w:t>
      </w:r>
    </w:p>
    <w:p>
      <w:pPr>
        <w:spacing w:after="60"/>
        <w:ind w:left="288" w:hanging="259"/>
      </w:pPr>
      <w:r>
        <w:rPr>
          <w:b/>
        </w:rPr>
        <w:t xml:space="preserve">– </w:t>
      </w:r>
      <w:r>
        <w:t>Architecture: one model per encoder with 3 heads (binary, abuse type, severity).</w:t>
      </w:r>
    </w:p>
    <w:p>
      <w:pPr>
        <w:spacing w:after="60"/>
        <w:ind w:left="288" w:hanging="259"/>
      </w:pPr>
      <w:r>
        <w:rPr>
          <w:b/>
        </w:rPr>
        <w:t xml:space="preserve">– </w:t>
      </w:r>
      <w:r>
        <w:t>Loss design: combine class-balanced cross-entropy / BCE or focal loss depending on task imbalance.</w:t>
      </w:r>
    </w:p>
    <w:p>
      <w:pPr>
        <w:spacing w:after="60"/>
        <w:ind w:left="288" w:hanging="259"/>
      </w:pPr>
      <w:r>
        <w:rPr>
          <w:b/>
        </w:rPr>
        <w:t xml:space="preserve">– </w:t>
      </w:r>
      <w:r>
        <w:t>Optimization: layer-wise learning rate decay, warmup, mixed precision, 3-5 seeds, and 5-fold CV.</w:t>
      </w:r>
    </w:p>
    <w:p>
      <w:pPr>
        <w:spacing w:after="60"/>
        <w:ind w:left="288" w:hanging="259"/>
      </w:pPr>
      <w:r>
        <w:rPr>
          <w:b/>
        </w:rPr>
        <w:t xml:space="preserve">– </w:t>
      </w:r>
      <w:r>
        <w:t>Inference: weighted logits ensemble first; then test simple stacking as an optional upgrade.</w:t>
      </w:r>
    </w:p>
    <w:p>
      <w:pPr>
        <w:spacing w:after="60"/>
        <w:ind w:left="288" w:hanging="259"/>
      </w:pPr>
      <w:r>
        <w:rPr>
          <w:b/>
        </w:rPr>
        <w:t xml:space="preserve">– </w:t>
      </w:r>
      <w:r>
        <w:t>Selection rule: choose the system with the best average Macro-F1 and the best external robustness, not the highest single-split accuracy.</w:t>
      </w:r>
    </w:p>
    <w:p>
      <w:r>
        <w:br w:type="page"/>
      </w:r>
    </w:p>
    <w:p>
      <w:pPr>
        <w:pStyle w:val="SectionHeading"/>
      </w:pPr>
      <w:r>
        <w:t>4. Practical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8F0"/>
          <w:left w:val="single" w:sz="8" w:space="0" w:color="C9D8F0"/>
          <w:bottom w:val="single" w:sz="8" w:space="0" w:color="C9D8F0"/>
          <w:right w:val="single" w:sz="8" w:space="0" w:color="C9D8F0"/>
          <w:insideH w:val="single" w:sz="8" w:space="0" w:color="C9D8F0"/>
          <w:insideV w:val="single" w:sz="8" w:space="0" w:color="C9D8F0"/>
        </w:tblBorders>
      </w:tblPr>
      <w:tblGrid>
        <w:gridCol w:w="2016"/>
        <w:gridCol w:w="7776"/>
      </w:tblGrid>
      <w:tr>
        <w:tc>
          <w:tcPr>
            <w:tcW w:type="dxa" w:w="4896"/>
            <w:shd w:fill="DCE6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6346B"/>
              </w:rPr>
              <w:t>Phase</w:t>
            </w:r>
          </w:p>
        </w:tc>
        <w:tc>
          <w:tcPr>
            <w:tcW w:type="dxa" w:w="4896"/>
            <w:shd w:fill="DCE6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6346B"/>
              </w:rPr>
              <w:t>Output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Phase 1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Collect datasets, map labels, write annotation guideline, and finalize taxonomy.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pPr>
              <w:jc w:val="center"/>
            </w:pPr>
            <w:r>
              <w:rPr>
                <w:b/>
              </w:rPr>
              <w:t>Phase 2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r>
              <w:t>Annotate the new hard slice and compute inter-annotator agreement.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Phase 3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 baselines and single-transformer models with consistent preprocessing and splits.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pPr>
              <w:jc w:val="center"/>
            </w:pPr>
            <w:r>
              <w:rPr>
                <w:b/>
              </w:rPr>
              <w:t>Phase 4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BFF"/>
          </w:tcPr>
          <w:p>
            <w:r>
              <w:t>Tune the ensemble, thresholds, and robustness settings; then run external evaluation.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Phase 5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Prepare ablations, tables, error analysis, code release, and paper writing.</w:t>
            </w:r>
          </w:p>
        </w:tc>
      </w:tr>
    </w:tbl>
    <w:p>
      <w:pPr>
        <w:pStyle w:val="SubHeading"/>
      </w:pPr>
      <w:r>
        <w:t>Bottom 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9792"/>
      </w:tblGrid>
      <w:tr>
        <w:tc>
          <w:tcPr>
            <w:tcW w:type="dxa" w:w="9792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 xml:space="preserve">Best-result pipeline in one line: </w:t>
            </w:r>
            <w:r>
              <w:t>merge data -&gt; add new hard annotations -&gt; light normalization -&gt; robust train/test splits -&gt; fine-tune BanglaBERT, MuRIL, XLM-R/IndicBERTv2 -&gt; multi-task heads -&gt; ensemble -&gt; threshold tuning -&gt; external robustness testing -&gt; ablations -&gt; paper.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rPr>
      <w:rFonts w:ascii="Arial" w:hAnsi="Arial" w:eastAsia="Arial"/>
      <w:b/>
      <w:color w:val="16346B"/>
      <w:sz w:val="44"/>
    </w:rPr>
  </w:style>
  <w:style w:type="paragraph" w:customStyle="1" w:styleId="SectionHeading">
    <w:name w:val="SectionHeading"/>
    <w:rPr>
      <w:rFonts w:ascii="Arial" w:hAnsi="Arial" w:eastAsia="Arial"/>
      <w:b/>
      <w:color w:val="16346B"/>
      <w:sz w:val="28"/>
    </w:rPr>
  </w:style>
  <w:style w:type="paragraph" w:customStyle="1" w:styleId="SubHeading">
    <w:name w:val="SubHeading"/>
    <w:rPr>
      <w:rFonts w:ascii="Arial" w:hAnsi="Arial" w:eastAsia="Arial"/>
      <w:b/>
      <w:color w:val="2F549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