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B14" w:rsidRPr="00C47B14" w:rsidRDefault="00815E34" w:rsidP="00C47B14">
      <w:pPr>
        <w:pStyle w:val="Prrafodelista"/>
        <w:numPr>
          <w:ilvl w:val="0"/>
          <w:numId w:val="2"/>
        </w:numPr>
        <w:tabs>
          <w:tab w:val="right" w:pos="7086"/>
        </w:tabs>
        <w:spacing w:before="100" w:beforeAutospacing="1" w:after="100" w:afterAutospacing="1" w:line="360" w:lineRule="auto"/>
        <w:ind w:left="714" w:hanging="357"/>
        <w:contextualSpacing w:val="0"/>
        <w:jc w:val="both"/>
        <w:rPr>
          <w:rFonts w:eastAsiaTheme="minorEastAsia" w:cstheme="minorHAnsi"/>
          <w:b/>
          <w:bCs/>
          <w:color w:val="222222"/>
          <w:u w:val="single"/>
          <w:shd w:val="clear" w:color="auto" w:fill="FFFFFF"/>
        </w:rPr>
      </w:pPr>
      <w:r w:rsidRPr="00815E34">
        <w:rPr>
          <w:rFonts w:eastAsiaTheme="minorEastAsia" w:cstheme="minorHAnsi"/>
          <w:b/>
          <w:bCs/>
          <w:color w:val="222222"/>
          <w:u w:val="single"/>
          <w:shd w:val="clear" w:color="auto" w:fill="FFFFFF"/>
        </w:rPr>
        <w:t>Consideraciones finales</w:t>
      </w:r>
    </w:p>
    <w:p w:rsidR="00815E34" w:rsidRPr="00C47B14" w:rsidRDefault="00815E34" w:rsidP="00C47B14">
      <w:pPr>
        <w:pStyle w:val="Prrafodelista"/>
        <w:tabs>
          <w:tab w:val="right" w:pos="7086"/>
        </w:tabs>
        <w:spacing w:after="240" w:line="360" w:lineRule="auto"/>
        <w:ind w:left="0" w:right="1418" w:firstLine="567"/>
        <w:contextualSpacing w:val="0"/>
        <w:jc w:val="both"/>
        <w:rPr>
          <w:rFonts w:eastAsiaTheme="minorEastAsia" w:cstheme="minorHAnsi"/>
          <w:bCs/>
          <w:color w:val="222222"/>
          <w:shd w:val="clear" w:color="auto" w:fill="FFFFFF"/>
        </w:rPr>
      </w:pPr>
      <w:r>
        <w:rPr>
          <w:rFonts w:eastAsiaTheme="minorEastAsia" w:cstheme="minorHAnsi"/>
          <w:bCs/>
          <w:color w:val="222222"/>
          <w:shd w:val="clear" w:color="auto" w:fill="FFFFFF"/>
        </w:rPr>
        <w:t xml:space="preserve">Es común que, en situaciones en la que se trabaje con datos espaciales, los </w:t>
      </w:r>
      <w:r w:rsidR="00C47B14">
        <w:rPr>
          <w:rFonts w:eastAsiaTheme="minorEastAsia" w:cstheme="minorHAnsi"/>
          <w:bCs/>
          <w:color w:val="222222"/>
          <w:shd w:val="clear" w:color="auto" w:fill="FFFFFF"/>
        </w:rPr>
        <w:t>“</w:t>
      </w:r>
      <w:r>
        <w:rPr>
          <w:rFonts w:eastAsiaTheme="minorEastAsia" w:cstheme="minorHAnsi"/>
          <w:bCs/>
          <w:color w:val="222222"/>
          <w:shd w:val="clear" w:color="auto" w:fill="FFFFFF"/>
        </w:rPr>
        <w:t>tamaños</w:t>
      </w:r>
      <w:r w:rsidR="00C47B14">
        <w:rPr>
          <w:rFonts w:eastAsiaTheme="minorEastAsia" w:cstheme="minorHAnsi"/>
          <w:bCs/>
          <w:color w:val="222222"/>
          <w:shd w:val="clear" w:color="auto" w:fill="FFFFFF"/>
        </w:rPr>
        <w:t>”</w:t>
      </w:r>
      <w:r>
        <w:rPr>
          <w:rFonts w:eastAsiaTheme="minorEastAsia" w:cstheme="minorHAnsi"/>
          <w:bCs/>
          <w:color w:val="222222"/>
          <w:shd w:val="clear" w:color="auto" w:fill="FFFFFF"/>
        </w:rPr>
        <w:t xml:space="preserve"> de las áreas consideradas para una determinada región sean distintos. L</w:t>
      </w:r>
      <w:r w:rsidRPr="00894975">
        <w:rPr>
          <w:rFonts w:cstheme="minorHAnsi"/>
        </w:rPr>
        <w:t xml:space="preserve">o que lleva a considerar la necesidad de tener en cuenta </w:t>
      </w:r>
      <w:r>
        <w:rPr>
          <w:rFonts w:cstheme="minorHAnsi"/>
        </w:rPr>
        <w:t xml:space="preserve">el tamaño de las distintas unidades </w:t>
      </w:r>
      <w:r w:rsidRPr="00894975">
        <w:rPr>
          <w:rFonts w:cstheme="minorHAnsi"/>
        </w:rPr>
        <w:t xml:space="preserve">a la hora de construir indicadores que expresen la </w:t>
      </w:r>
      <w:proofErr w:type="spellStart"/>
      <w:r w:rsidRPr="00894975">
        <w:rPr>
          <w:rFonts w:cstheme="minorHAnsi"/>
        </w:rPr>
        <w:t>autocorrelación</w:t>
      </w:r>
      <w:proofErr w:type="spellEnd"/>
      <w:r>
        <w:rPr>
          <w:rFonts w:cstheme="minorHAnsi"/>
        </w:rPr>
        <w:t xml:space="preserve"> espacial</w:t>
      </w:r>
      <w:r w:rsidRPr="00894975">
        <w:rPr>
          <w:rFonts w:cstheme="minorHAnsi"/>
        </w:rPr>
        <w:t>.</w:t>
      </w:r>
      <w:r>
        <w:rPr>
          <w:rFonts w:cstheme="minorHAnsi"/>
        </w:rPr>
        <w:t xml:space="preserve"> En otras palabras, resulta de interés evaluar alternativas distintas al índice de Moran.</w:t>
      </w:r>
    </w:p>
    <w:p w:rsidR="00815E34" w:rsidRPr="00C47B14" w:rsidRDefault="00815E34" w:rsidP="00C47B14">
      <w:pPr>
        <w:pStyle w:val="Prrafodelista"/>
        <w:tabs>
          <w:tab w:val="right" w:pos="7086"/>
        </w:tabs>
        <w:spacing w:after="240" w:line="360" w:lineRule="auto"/>
        <w:ind w:left="0" w:right="1418" w:firstLine="567"/>
        <w:contextualSpacing w:val="0"/>
        <w:jc w:val="both"/>
        <w:rPr>
          <w:rFonts w:eastAsiaTheme="minorEastAsia" w:cstheme="minorHAnsi"/>
          <w:bCs/>
          <w:color w:val="222222"/>
          <w:shd w:val="clear" w:color="auto" w:fill="FFFFFF"/>
        </w:rPr>
      </w:pPr>
      <w:r>
        <w:rPr>
          <w:rFonts w:eastAsiaTheme="minorEastAsia" w:cstheme="minorHAnsi"/>
          <w:bCs/>
          <w:color w:val="222222"/>
          <w:shd w:val="clear" w:color="auto" w:fill="FFFFFF"/>
        </w:rPr>
        <w:t xml:space="preserve">En la presente tesina se han estudiado dos índices que tienen en cuenta esta cuestión mencionada anteriormente, el índice de </w:t>
      </w:r>
      <w:proofErr w:type="spellStart"/>
      <w:r>
        <w:rPr>
          <w:rFonts w:eastAsiaTheme="minorEastAsia" w:cstheme="minorHAnsi"/>
          <w:bCs/>
          <w:color w:val="222222"/>
          <w:shd w:val="clear" w:color="auto" w:fill="FFFFFF"/>
        </w:rPr>
        <w:t>Oden</w:t>
      </w:r>
      <w:proofErr w:type="spellEnd"/>
      <w:r>
        <w:rPr>
          <w:rFonts w:eastAsiaTheme="minorEastAsia" w:cstheme="minorHAnsi"/>
          <w:bCs/>
          <w:color w:val="222222"/>
          <w:shd w:val="clear" w:color="auto" w:fill="FFFFFF"/>
        </w:rPr>
        <w:t xml:space="preserve"> y el EBI. La utilización del primero de ellos queda descartada</w:t>
      </w:r>
      <w:r w:rsidR="003F1037">
        <w:rPr>
          <w:rFonts w:eastAsiaTheme="minorEastAsia" w:cstheme="minorHAnsi"/>
          <w:bCs/>
          <w:color w:val="222222"/>
          <w:shd w:val="clear" w:color="auto" w:fill="FFFFFF"/>
        </w:rPr>
        <w:t xml:space="preserve"> por la discordancia de las hipótesis planteadas, la profundización de estos fundamentos se encuentra</w:t>
      </w:r>
      <w:r>
        <w:rPr>
          <w:rFonts w:eastAsiaTheme="minorEastAsia" w:cstheme="minorHAnsi"/>
          <w:bCs/>
          <w:color w:val="222222"/>
          <w:shd w:val="clear" w:color="auto" w:fill="FFFFFF"/>
        </w:rPr>
        <w:t xml:space="preserve"> en la sección Materiales y Métodos.</w:t>
      </w:r>
    </w:p>
    <w:p w:rsidR="00815E34" w:rsidRPr="00C47B14" w:rsidRDefault="00815E34" w:rsidP="00C47B14">
      <w:pPr>
        <w:pStyle w:val="Prrafodelista"/>
        <w:tabs>
          <w:tab w:val="right" w:pos="7086"/>
        </w:tabs>
        <w:spacing w:after="240" w:line="360" w:lineRule="auto"/>
        <w:ind w:left="0" w:right="1418" w:firstLine="567"/>
        <w:contextualSpacing w:val="0"/>
        <w:jc w:val="both"/>
        <w:rPr>
          <w:rFonts w:eastAsiaTheme="minorEastAsia" w:cstheme="minorHAnsi"/>
          <w:bCs/>
          <w:color w:val="222222"/>
          <w:shd w:val="clear" w:color="auto" w:fill="FFFFFF"/>
        </w:rPr>
      </w:pPr>
      <w:r>
        <w:rPr>
          <w:rFonts w:eastAsiaTheme="minorEastAsia" w:cstheme="minorHAnsi"/>
          <w:bCs/>
          <w:color w:val="222222"/>
          <w:shd w:val="clear" w:color="auto" w:fill="FFFFFF"/>
        </w:rPr>
        <w:t xml:space="preserve">Por otro lado, el EBI mostró un comportamiento satisfactorio en los dos problemas analizados y posee algunas propiedades superadoras con respecto al índice de Moran, las más importantes se mencionarán en los siguientes párrafos. </w:t>
      </w:r>
    </w:p>
    <w:p w:rsidR="00815E34" w:rsidRPr="00C47B14" w:rsidRDefault="00815E34" w:rsidP="00C47B14">
      <w:pPr>
        <w:pStyle w:val="Prrafodelista"/>
        <w:tabs>
          <w:tab w:val="right" w:pos="7086"/>
        </w:tabs>
        <w:spacing w:after="240" w:line="360" w:lineRule="auto"/>
        <w:ind w:left="0" w:right="1418" w:firstLine="567"/>
        <w:contextualSpacing w:val="0"/>
        <w:jc w:val="both"/>
        <w:rPr>
          <w:rFonts w:eastAsiaTheme="minorEastAsia" w:cstheme="minorHAnsi"/>
          <w:bCs/>
          <w:color w:val="222222"/>
          <w:shd w:val="clear" w:color="auto" w:fill="FFFFFF"/>
        </w:rPr>
      </w:pPr>
      <w:r w:rsidRPr="00355CA7">
        <w:rPr>
          <w:rFonts w:eastAsiaTheme="minorEastAsia" w:cstheme="minorHAnsi"/>
          <w:bCs/>
          <w:color w:val="222222"/>
          <w:shd w:val="clear" w:color="auto" w:fill="FFFFFF"/>
        </w:rPr>
        <w:t>El EBI y Moran poseen una potencia similar ante escenarios de tamaños poblacionales parecidos de las distintas áreas con</w:t>
      </w:r>
      <w:r>
        <w:rPr>
          <w:rFonts w:eastAsiaTheme="minorEastAsia" w:cstheme="minorHAnsi"/>
          <w:bCs/>
          <w:color w:val="222222"/>
          <w:shd w:val="clear" w:color="auto" w:fill="FFFFFF"/>
        </w:rPr>
        <w:t>sideradas, pero a medida que se alejan</w:t>
      </w:r>
      <w:r w:rsidRPr="00355CA7">
        <w:rPr>
          <w:rFonts w:eastAsiaTheme="minorEastAsia" w:cstheme="minorHAnsi"/>
          <w:bCs/>
          <w:color w:val="222222"/>
          <w:shd w:val="clear" w:color="auto" w:fill="FFFFFF"/>
        </w:rPr>
        <w:t xml:space="preserve"> de esta situación, el EBI incrementa su potencia de manera considerable </w:t>
      </w:r>
      <w:r>
        <w:rPr>
          <w:rFonts w:eastAsiaTheme="minorEastAsia" w:cstheme="minorHAnsi"/>
          <w:bCs/>
          <w:color w:val="222222"/>
          <w:shd w:val="clear" w:color="auto" w:fill="FFFFFF"/>
        </w:rPr>
        <w:t xml:space="preserve">con respecto al índice de Moran </w:t>
      </w:r>
      <w:r w:rsidRPr="00D348AA">
        <w:rPr>
          <w:rFonts w:eastAsiaTheme="minorEastAsia" w:cstheme="minorHAnsi"/>
          <w:bCs/>
          <w:color w:val="222222"/>
          <w:shd w:val="clear" w:color="auto" w:fill="FFFFFF"/>
        </w:rPr>
        <w:t>(</w:t>
      </w:r>
      <w:proofErr w:type="spellStart"/>
      <w:r w:rsidRPr="00D348AA">
        <w:rPr>
          <w:rFonts w:eastAsiaTheme="minorEastAsia" w:cstheme="minorHAnsi"/>
          <w:bCs/>
          <w:color w:val="222222"/>
          <w:shd w:val="clear" w:color="auto" w:fill="FFFFFF"/>
        </w:rPr>
        <w:t>Assunção</w:t>
      </w:r>
      <w:proofErr w:type="spellEnd"/>
      <w:r w:rsidRPr="00E47168">
        <w:rPr>
          <w:rFonts w:cstheme="minorHAnsi"/>
        </w:rPr>
        <w:t xml:space="preserve"> </w:t>
      </w:r>
      <w:r>
        <w:rPr>
          <w:rFonts w:cstheme="minorHAnsi"/>
        </w:rPr>
        <w:t>et al.</w:t>
      </w:r>
      <w:r w:rsidRPr="00D348AA">
        <w:rPr>
          <w:rFonts w:eastAsiaTheme="minorEastAsia" w:cstheme="minorHAnsi"/>
          <w:bCs/>
          <w:color w:val="222222"/>
          <w:shd w:val="clear" w:color="auto" w:fill="FFFFFF"/>
        </w:rPr>
        <w:t>, 1999)</w:t>
      </w:r>
      <w:r>
        <w:rPr>
          <w:rFonts w:eastAsiaTheme="minorEastAsia" w:cstheme="minorHAnsi"/>
          <w:bCs/>
          <w:color w:val="222222"/>
          <w:shd w:val="clear" w:color="auto" w:fill="FFFFFF"/>
        </w:rPr>
        <w:t>.</w:t>
      </w:r>
    </w:p>
    <w:p w:rsidR="00897D3C" w:rsidRDefault="00815E34" w:rsidP="00C47B14">
      <w:pPr>
        <w:pStyle w:val="Prrafodelista"/>
        <w:tabs>
          <w:tab w:val="right" w:pos="7086"/>
        </w:tabs>
        <w:spacing w:after="240" w:line="360" w:lineRule="auto"/>
        <w:ind w:left="0" w:right="1418" w:firstLine="567"/>
        <w:contextualSpacing w:val="0"/>
        <w:jc w:val="both"/>
        <w:rPr>
          <w:rFonts w:eastAsiaTheme="minorEastAsia" w:cstheme="minorHAnsi"/>
          <w:bCs/>
          <w:color w:val="222222"/>
          <w:shd w:val="clear" w:color="auto" w:fill="FFFFFF"/>
        </w:rPr>
      </w:pPr>
      <w:r w:rsidRPr="00355CA7">
        <w:rPr>
          <w:rFonts w:eastAsiaTheme="minorEastAsia" w:cstheme="minorHAnsi"/>
          <w:bCs/>
          <w:color w:val="222222"/>
          <w:shd w:val="clear" w:color="auto" w:fill="FFFFFF"/>
        </w:rPr>
        <w:t>También el EBI posee interesantes cualidades de robustez, ya que no se ve afectado por valores atípicos, a diferenci</w:t>
      </w:r>
      <w:r>
        <w:rPr>
          <w:rFonts w:eastAsiaTheme="minorEastAsia" w:cstheme="minorHAnsi"/>
          <w:bCs/>
          <w:color w:val="222222"/>
          <w:shd w:val="clear" w:color="auto" w:fill="FFFFFF"/>
        </w:rPr>
        <w:t xml:space="preserve">a de Moran que da el mismo peso a cada unidad contemplada </w:t>
      </w:r>
      <w:r w:rsidRPr="00D348AA">
        <w:rPr>
          <w:rFonts w:eastAsiaTheme="minorEastAsia" w:cstheme="minorHAnsi"/>
          <w:bCs/>
          <w:color w:val="222222"/>
          <w:shd w:val="clear" w:color="auto" w:fill="FFFFFF"/>
        </w:rPr>
        <w:t>(</w:t>
      </w:r>
      <w:proofErr w:type="spellStart"/>
      <w:r w:rsidRPr="00D348AA">
        <w:rPr>
          <w:rFonts w:eastAsiaTheme="minorEastAsia" w:cstheme="minorHAnsi"/>
          <w:bCs/>
          <w:color w:val="222222"/>
          <w:shd w:val="clear" w:color="auto" w:fill="FFFFFF"/>
        </w:rPr>
        <w:t>Assunção</w:t>
      </w:r>
      <w:proofErr w:type="spellEnd"/>
      <w:r w:rsidRPr="00E47168">
        <w:rPr>
          <w:rFonts w:cstheme="minorHAnsi"/>
        </w:rPr>
        <w:t xml:space="preserve"> </w:t>
      </w:r>
      <w:r>
        <w:rPr>
          <w:rFonts w:cstheme="minorHAnsi"/>
        </w:rPr>
        <w:t>et al.</w:t>
      </w:r>
      <w:r w:rsidRPr="00D348AA">
        <w:rPr>
          <w:rFonts w:eastAsiaTheme="minorEastAsia" w:cstheme="minorHAnsi"/>
          <w:bCs/>
          <w:color w:val="222222"/>
          <w:shd w:val="clear" w:color="auto" w:fill="FFFFFF"/>
        </w:rPr>
        <w:t>,</w:t>
      </w:r>
      <w:r w:rsidR="0088469B">
        <w:rPr>
          <w:rFonts w:eastAsiaTheme="minorEastAsia" w:cstheme="minorHAnsi"/>
          <w:bCs/>
          <w:color w:val="222222"/>
          <w:shd w:val="clear" w:color="auto" w:fill="FFFFFF"/>
        </w:rPr>
        <w:t xml:space="preserve"> </w:t>
      </w:r>
      <w:r w:rsidRPr="00D348AA">
        <w:rPr>
          <w:rFonts w:eastAsiaTheme="minorEastAsia" w:cstheme="minorHAnsi"/>
          <w:bCs/>
          <w:color w:val="222222"/>
          <w:shd w:val="clear" w:color="auto" w:fill="FFFFFF"/>
        </w:rPr>
        <w:t>1999)</w:t>
      </w:r>
      <w:r>
        <w:rPr>
          <w:rFonts w:eastAsiaTheme="minorEastAsia" w:cstheme="minorHAnsi"/>
          <w:bCs/>
          <w:color w:val="222222"/>
          <w:shd w:val="clear" w:color="auto" w:fill="FFFFFF"/>
        </w:rPr>
        <w:t xml:space="preserve">. </w:t>
      </w:r>
    </w:p>
    <w:p w:rsidR="00815E34" w:rsidRDefault="00815E34" w:rsidP="00C47B14">
      <w:pPr>
        <w:pStyle w:val="Prrafodelista"/>
        <w:tabs>
          <w:tab w:val="right" w:pos="7086"/>
        </w:tabs>
        <w:spacing w:after="240" w:line="360" w:lineRule="auto"/>
        <w:ind w:left="0" w:right="1418" w:firstLine="567"/>
        <w:contextualSpacing w:val="0"/>
        <w:jc w:val="both"/>
        <w:rPr>
          <w:rFonts w:cstheme="minorHAnsi"/>
        </w:rPr>
      </w:pPr>
      <w:r w:rsidRPr="00D348AA">
        <w:rPr>
          <w:rFonts w:eastAsiaTheme="minorEastAsia" w:cstheme="minorHAnsi"/>
          <w:bCs/>
          <w:color w:val="222222"/>
          <w:shd w:val="clear" w:color="auto" w:fill="FFFFFF"/>
        </w:rPr>
        <w:t>La P(e</w:t>
      </w:r>
      <w:r w:rsidRPr="00D348AA">
        <w:rPr>
          <w:rFonts w:eastAsiaTheme="minorEastAsia" w:cstheme="minorHAnsi"/>
          <w:bCs/>
          <w:color w:val="222222"/>
          <w:shd w:val="clear" w:color="auto" w:fill="FFFFFF"/>
          <w:vertAlign w:val="subscript"/>
        </w:rPr>
        <w:t>1</w:t>
      </w:r>
      <w:r w:rsidRPr="00D348AA">
        <w:rPr>
          <w:rFonts w:eastAsiaTheme="minorEastAsia" w:cstheme="minorHAnsi"/>
          <w:bCs/>
          <w:color w:val="222222"/>
          <w:shd w:val="clear" w:color="auto" w:fill="FFFFFF"/>
        </w:rPr>
        <w:t xml:space="preserve">) del EBI no se ve alterada cuando las </w:t>
      </w:r>
      <w:r w:rsidR="00080F8B">
        <w:rPr>
          <w:rFonts w:eastAsiaTheme="minorEastAsia" w:cstheme="minorHAnsi"/>
          <w:bCs/>
          <w:color w:val="222222"/>
          <w:shd w:val="clear" w:color="auto" w:fill="FFFFFF"/>
        </w:rPr>
        <w:t>los “tamaños”</w:t>
      </w:r>
      <w:r w:rsidRPr="00D348AA">
        <w:rPr>
          <w:rFonts w:eastAsiaTheme="minorEastAsia" w:cstheme="minorHAnsi"/>
          <w:bCs/>
          <w:color w:val="222222"/>
          <w:shd w:val="clear" w:color="auto" w:fill="FFFFFF"/>
        </w:rPr>
        <w:t xml:space="preserve"> </w:t>
      </w:r>
      <w:r w:rsidR="00080F8B">
        <w:rPr>
          <w:rFonts w:eastAsiaTheme="minorEastAsia" w:cstheme="minorHAnsi"/>
          <w:bCs/>
          <w:color w:val="222222"/>
          <w:shd w:val="clear" w:color="auto" w:fill="FFFFFF"/>
        </w:rPr>
        <w:t>de</w:t>
      </w:r>
      <w:r w:rsidRPr="00D348AA">
        <w:rPr>
          <w:rFonts w:eastAsiaTheme="minorEastAsia" w:cstheme="minorHAnsi"/>
          <w:bCs/>
          <w:color w:val="222222"/>
          <w:shd w:val="clear" w:color="auto" w:fill="FFFFFF"/>
        </w:rPr>
        <w:t xml:space="preserve"> las áreas son heterogéneas (</w:t>
      </w:r>
      <w:proofErr w:type="spellStart"/>
      <w:r w:rsidRPr="00D348AA">
        <w:rPr>
          <w:rFonts w:eastAsiaTheme="minorEastAsia" w:cstheme="minorHAnsi"/>
          <w:bCs/>
          <w:color w:val="222222"/>
          <w:shd w:val="clear" w:color="auto" w:fill="FFFFFF"/>
        </w:rPr>
        <w:t>Assunção</w:t>
      </w:r>
      <w:proofErr w:type="spellEnd"/>
      <w:r w:rsidRPr="00E47168">
        <w:rPr>
          <w:rFonts w:cstheme="minorHAnsi"/>
        </w:rPr>
        <w:t xml:space="preserve"> </w:t>
      </w:r>
      <w:r>
        <w:rPr>
          <w:rFonts w:cstheme="minorHAnsi"/>
        </w:rPr>
        <w:t>et al.</w:t>
      </w:r>
      <w:r w:rsidRPr="00D348AA">
        <w:rPr>
          <w:rFonts w:eastAsiaTheme="minorEastAsia" w:cstheme="minorHAnsi"/>
          <w:bCs/>
          <w:color w:val="222222"/>
          <w:shd w:val="clear" w:color="auto" w:fill="FFFFFF"/>
        </w:rPr>
        <w:t>, 1999)</w:t>
      </w:r>
      <w:r>
        <w:rPr>
          <w:rFonts w:eastAsiaTheme="minorEastAsia" w:cstheme="minorHAnsi"/>
          <w:bCs/>
          <w:color w:val="222222"/>
          <w:shd w:val="clear" w:color="auto" w:fill="FFFFFF"/>
        </w:rPr>
        <w:t xml:space="preserve">, mientras que </w:t>
      </w:r>
      <w:r w:rsidRPr="00EB2703">
        <w:rPr>
          <w:rFonts w:cstheme="minorHAnsi"/>
        </w:rPr>
        <w:t>La P(e</w:t>
      </w:r>
      <w:r w:rsidRPr="00EB2703">
        <w:rPr>
          <w:rFonts w:cstheme="minorHAnsi"/>
          <w:vertAlign w:val="subscript"/>
        </w:rPr>
        <w:t>1</w:t>
      </w:r>
      <w:r w:rsidRPr="00EB2703">
        <w:rPr>
          <w:rFonts w:cstheme="minorHAnsi"/>
        </w:rPr>
        <w:t xml:space="preserve">) se incrementa </w:t>
      </w:r>
      <w:r>
        <w:rPr>
          <w:rFonts w:cstheme="minorHAnsi"/>
        </w:rPr>
        <w:t>para el índice de Moran cuando lo</w:t>
      </w:r>
      <w:r w:rsidRPr="00EB2703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080F8B">
        <w:rPr>
          <w:rFonts w:cstheme="minorHAnsi"/>
        </w:rPr>
        <w:t>“</w:t>
      </w:r>
      <w:r>
        <w:rPr>
          <w:rFonts w:cstheme="minorHAnsi"/>
        </w:rPr>
        <w:t>tamaños</w:t>
      </w:r>
      <w:r w:rsidR="00080F8B">
        <w:rPr>
          <w:rFonts w:cstheme="minorHAnsi"/>
        </w:rPr>
        <w:t>”</w:t>
      </w:r>
      <w:r>
        <w:rPr>
          <w:rFonts w:cstheme="minorHAnsi"/>
        </w:rPr>
        <w:t xml:space="preserve"> de</w:t>
      </w:r>
      <w:r w:rsidRPr="00EB2703">
        <w:rPr>
          <w:rFonts w:cstheme="minorHAnsi"/>
        </w:rPr>
        <w:t xml:space="preserve"> las áreas son </w:t>
      </w:r>
      <w:r>
        <w:rPr>
          <w:rFonts w:cstheme="minorHAnsi"/>
        </w:rPr>
        <w:t>distintos</w:t>
      </w:r>
      <w:r w:rsidRPr="00EB2703">
        <w:rPr>
          <w:rFonts w:cstheme="minorHAnsi"/>
        </w:rPr>
        <w:t xml:space="preserve"> y la proporción es constante (Walter, 1992).</w:t>
      </w:r>
    </w:p>
    <w:p w:rsidR="00897D3C" w:rsidRDefault="00897D3C" w:rsidP="00C47B14">
      <w:pPr>
        <w:pStyle w:val="Prrafodelista"/>
        <w:tabs>
          <w:tab w:val="right" w:pos="7086"/>
        </w:tabs>
        <w:spacing w:after="240" w:line="360" w:lineRule="auto"/>
        <w:ind w:left="0" w:right="1418" w:firstLine="567"/>
        <w:contextualSpacing w:val="0"/>
        <w:jc w:val="both"/>
        <w:rPr>
          <w:rFonts w:cstheme="minorHAnsi"/>
        </w:rPr>
      </w:pPr>
    </w:p>
    <w:p w:rsidR="00897D3C" w:rsidRDefault="00897D3C" w:rsidP="00C47B14">
      <w:pPr>
        <w:pStyle w:val="Prrafodelista"/>
        <w:tabs>
          <w:tab w:val="right" w:pos="7086"/>
        </w:tabs>
        <w:spacing w:after="240" w:line="360" w:lineRule="auto"/>
        <w:ind w:left="0" w:right="1418" w:firstLine="567"/>
        <w:contextualSpacing w:val="0"/>
        <w:jc w:val="both"/>
        <w:rPr>
          <w:rFonts w:cstheme="minorHAnsi"/>
        </w:rPr>
      </w:pPr>
      <w:bookmarkStart w:id="0" w:name="_GoBack"/>
      <w:bookmarkEnd w:id="0"/>
    </w:p>
    <w:p w:rsidR="00815E34" w:rsidRPr="00815E34" w:rsidRDefault="00815E34" w:rsidP="00815E34">
      <w:pPr>
        <w:pStyle w:val="Prrafodelista"/>
        <w:tabs>
          <w:tab w:val="right" w:pos="7086"/>
        </w:tabs>
        <w:spacing w:before="100" w:beforeAutospacing="1" w:after="240" w:line="360" w:lineRule="auto"/>
        <w:ind w:left="0" w:right="1418" w:firstLine="567"/>
        <w:jc w:val="both"/>
        <w:rPr>
          <w:rFonts w:eastAsiaTheme="minorEastAsia" w:cstheme="minorHAnsi"/>
          <w:bCs/>
          <w:color w:val="222222"/>
          <w:shd w:val="clear" w:color="auto" w:fill="FFFFFF"/>
        </w:rPr>
      </w:pPr>
    </w:p>
    <w:p w:rsidR="00815E34" w:rsidRPr="00815E34" w:rsidRDefault="00815E34" w:rsidP="00815E34">
      <w:pPr>
        <w:pStyle w:val="Prrafodelista"/>
        <w:numPr>
          <w:ilvl w:val="0"/>
          <w:numId w:val="3"/>
        </w:numPr>
        <w:tabs>
          <w:tab w:val="right" w:pos="7086"/>
        </w:tabs>
        <w:spacing w:before="100" w:beforeAutospacing="1" w:after="100" w:afterAutospacing="1" w:line="360" w:lineRule="auto"/>
        <w:jc w:val="both"/>
        <w:rPr>
          <w:rFonts w:eastAsiaTheme="minorEastAsia" w:cstheme="minorHAnsi"/>
          <w:b/>
          <w:bCs/>
          <w:color w:val="222222"/>
          <w:u w:val="single"/>
          <w:shd w:val="clear" w:color="auto" w:fill="FFFFFF"/>
        </w:rPr>
      </w:pPr>
      <w:r w:rsidRPr="00815E34">
        <w:rPr>
          <w:rFonts w:eastAsiaTheme="minorEastAsia" w:cstheme="minorHAnsi"/>
          <w:b/>
          <w:bCs/>
          <w:color w:val="222222"/>
          <w:u w:val="single"/>
          <w:shd w:val="clear" w:color="auto" w:fill="FFFFFF"/>
        </w:rPr>
        <w:t>Referencias bibliográficas</w:t>
      </w:r>
    </w:p>
    <w:p w:rsidR="00815E34" w:rsidRPr="0099381C" w:rsidRDefault="00815E34" w:rsidP="00815E34">
      <w:pPr>
        <w:tabs>
          <w:tab w:val="right" w:pos="7086"/>
        </w:tabs>
        <w:spacing w:before="100" w:beforeAutospacing="1" w:after="240" w:line="360" w:lineRule="auto"/>
        <w:ind w:right="1418"/>
        <w:jc w:val="both"/>
        <w:rPr>
          <w:rFonts w:eastAsiaTheme="minorEastAsia" w:cstheme="minorHAnsi"/>
          <w:bCs/>
          <w:color w:val="222222"/>
          <w:shd w:val="clear" w:color="auto" w:fill="FFFFFF"/>
        </w:rPr>
      </w:pPr>
      <w:r w:rsidRPr="0099381C">
        <w:rPr>
          <w:b/>
          <w:lang w:val="en-US"/>
        </w:rPr>
        <w:t xml:space="preserve">[1] </w:t>
      </w:r>
      <w:proofErr w:type="spellStart"/>
      <w:r w:rsidRPr="0099381C">
        <w:rPr>
          <w:b/>
          <w:lang w:val="en-US"/>
        </w:rPr>
        <w:t>Anselin</w:t>
      </w:r>
      <w:proofErr w:type="spellEnd"/>
      <w:r w:rsidRPr="0099381C">
        <w:rPr>
          <w:b/>
          <w:lang w:val="en-US"/>
        </w:rPr>
        <w:t xml:space="preserve">, Luc, </w:t>
      </w:r>
      <w:proofErr w:type="spellStart"/>
      <w:r w:rsidRPr="0099381C">
        <w:rPr>
          <w:b/>
          <w:lang w:val="en-US"/>
        </w:rPr>
        <w:t>Ibnu</w:t>
      </w:r>
      <w:proofErr w:type="spellEnd"/>
      <w:r w:rsidRPr="0099381C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Syabri</w:t>
      </w:r>
      <w:proofErr w:type="spellEnd"/>
      <w:r>
        <w:rPr>
          <w:b/>
          <w:lang w:val="en-US"/>
        </w:rPr>
        <w:t xml:space="preserve"> and </w:t>
      </w:r>
      <w:proofErr w:type="spellStart"/>
      <w:r>
        <w:rPr>
          <w:b/>
          <w:lang w:val="en-US"/>
        </w:rPr>
        <w:t>Younggihn</w:t>
      </w:r>
      <w:proofErr w:type="spellEnd"/>
      <w:r>
        <w:rPr>
          <w:b/>
          <w:lang w:val="en-US"/>
        </w:rPr>
        <w:t xml:space="preserve"> Kho (2006).</w:t>
      </w:r>
      <w:r w:rsidRPr="0099381C">
        <w:rPr>
          <w:lang w:val="en-US"/>
        </w:rPr>
        <w:t xml:space="preserve"> </w:t>
      </w:r>
      <w:proofErr w:type="spellStart"/>
      <w:r w:rsidRPr="0099381C">
        <w:rPr>
          <w:lang w:val="en-US"/>
        </w:rPr>
        <w:t>GeoDa</w:t>
      </w:r>
      <w:proofErr w:type="spellEnd"/>
      <w:r w:rsidRPr="0099381C">
        <w:rPr>
          <w:lang w:val="en-US"/>
        </w:rPr>
        <w:t xml:space="preserve">: An Introduction to Spatial Data Analysis. </w:t>
      </w:r>
      <w:proofErr w:type="spellStart"/>
      <w:r>
        <w:t>Geographical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38 (1), 5-22. </w:t>
      </w:r>
      <w:r w:rsidRPr="0099381C">
        <w:rPr>
          <w:rFonts w:eastAsiaTheme="minorEastAsia" w:cstheme="minorHAnsi"/>
          <w:bCs/>
          <w:color w:val="222222"/>
          <w:shd w:val="clear" w:color="auto" w:fill="FFFFFF"/>
          <w:lang w:val="en-US"/>
        </w:rPr>
        <w:t xml:space="preserve"> </w:t>
      </w:r>
    </w:p>
    <w:p w:rsidR="00815E34" w:rsidRDefault="00815E34" w:rsidP="00815E34">
      <w:pPr>
        <w:tabs>
          <w:tab w:val="right" w:pos="7086"/>
        </w:tabs>
        <w:spacing w:before="100" w:beforeAutospacing="1" w:after="240" w:line="360" w:lineRule="auto"/>
        <w:ind w:right="1418"/>
        <w:jc w:val="both"/>
        <w:rPr>
          <w:rFonts w:eastAsiaTheme="minorEastAsia" w:cstheme="minorHAnsi"/>
          <w:bCs/>
          <w:i/>
          <w:iCs/>
          <w:color w:val="222222"/>
          <w:shd w:val="clear" w:color="auto" w:fill="FFFFFF"/>
          <w:lang w:val="en-US"/>
        </w:rPr>
      </w:pPr>
      <w:r>
        <w:rPr>
          <w:b/>
          <w:lang w:val="en-US"/>
        </w:rPr>
        <w:t>[2</w:t>
      </w:r>
      <w:r w:rsidRPr="0099381C">
        <w:rPr>
          <w:b/>
          <w:lang w:val="en-US"/>
        </w:rPr>
        <w:t xml:space="preserve">] </w:t>
      </w:r>
      <w:proofErr w:type="spellStart"/>
      <w:r w:rsidRPr="0099381C">
        <w:rPr>
          <w:rFonts w:eastAsiaTheme="minorEastAsia" w:cstheme="minorHAnsi"/>
          <w:b/>
          <w:bCs/>
          <w:color w:val="222222"/>
          <w:shd w:val="clear" w:color="auto" w:fill="FFFFFF"/>
          <w:lang w:val="en-US"/>
        </w:rPr>
        <w:t>Assunção</w:t>
      </w:r>
      <w:proofErr w:type="spellEnd"/>
      <w:r w:rsidRPr="0099381C">
        <w:rPr>
          <w:rFonts w:eastAsiaTheme="minorEastAsia" w:cstheme="minorHAnsi"/>
          <w:b/>
          <w:bCs/>
          <w:color w:val="222222"/>
          <w:shd w:val="clear" w:color="auto" w:fill="FFFFFF"/>
          <w:lang w:val="en-US"/>
        </w:rPr>
        <w:t>, R.M.; Reis, E. A. (1999)</w:t>
      </w:r>
      <w:r w:rsidRPr="0099381C">
        <w:rPr>
          <w:rFonts w:eastAsiaTheme="minorEastAsia" w:cstheme="minorHAnsi"/>
          <w:bCs/>
          <w:color w:val="222222"/>
          <w:shd w:val="clear" w:color="auto" w:fill="FFFFFF"/>
          <w:lang w:val="en-US"/>
        </w:rPr>
        <w:t xml:space="preserve"> </w:t>
      </w:r>
      <w:r w:rsidRPr="0099381C">
        <w:rPr>
          <w:rFonts w:eastAsiaTheme="minorEastAsia" w:cstheme="minorHAnsi"/>
          <w:bCs/>
          <w:i/>
          <w:iCs/>
          <w:color w:val="222222"/>
          <w:shd w:val="clear" w:color="auto" w:fill="FFFFFF"/>
          <w:lang w:val="en-US"/>
        </w:rPr>
        <w:t>“</w:t>
      </w:r>
      <w:r w:rsidRPr="0099381C">
        <w:rPr>
          <w:rFonts w:eastAsiaTheme="minorEastAsia" w:cstheme="minorHAnsi"/>
          <w:bCs/>
          <w:color w:val="222222"/>
          <w:shd w:val="clear" w:color="auto" w:fill="FFFFFF"/>
          <w:lang w:val="en-US"/>
        </w:rPr>
        <w:t xml:space="preserve">A new proposal to adjust Moran´s I for population density”. </w:t>
      </w:r>
      <w:r w:rsidRPr="0099381C">
        <w:rPr>
          <w:rFonts w:eastAsiaTheme="minorEastAsia" w:cstheme="minorHAnsi"/>
          <w:bCs/>
          <w:i/>
          <w:iCs/>
          <w:color w:val="222222"/>
          <w:shd w:val="clear" w:color="auto" w:fill="FFFFFF"/>
          <w:lang w:val="en-US"/>
        </w:rPr>
        <w:t>Statist. Med. 18, 2147-2162</w:t>
      </w:r>
      <w:r>
        <w:rPr>
          <w:rFonts w:eastAsiaTheme="minorEastAsia" w:cstheme="minorHAnsi"/>
          <w:bCs/>
          <w:i/>
          <w:iCs/>
          <w:color w:val="222222"/>
          <w:shd w:val="clear" w:color="auto" w:fill="FFFFFF"/>
          <w:lang w:val="en-US"/>
        </w:rPr>
        <w:t>.</w:t>
      </w:r>
    </w:p>
    <w:p w:rsidR="00815E34" w:rsidRPr="00AA53AD" w:rsidRDefault="00815E34" w:rsidP="00815E34">
      <w:pPr>
        <w:tabs>
          <w:tab w:val="right" w:pos="7086"/>
        </w:tabs>
        <w:spacing w:before="100" w:beforeAutospacing="1" w:after="240" w:line="360" w:lineRule="auto"/>
        <w:ind w:right="1418"/>
        <w:jc w:val="both"/>
        <w:rPr>
          <w:rFonts w:eastAsiaTheme="minorEastAsia" w:cstheme="minorHAnsi"/>
          <w:bCs/>
          <w:color w:val="222222"/>
          <w:shd w:val="clear" w:color="auto" w:fill="FFFFFF"/>
        </w:rPr>
      </w:pPr>
      <w:r w:rsidRPr="00AA53AD">
        <w:rPr>
          <w:rFonts w:eastAsiaTheme="minorEastAsia" w:cstheme="minorHAnsi"/>
          <w:b/>
          <w:bCs/>
          <w:color w:val="222222"/>
          <w:shd w:val="clear" w:color="auto" w:fill="FFFFFF"/>
        </w:rPr>
        <w:t>[</w:t>
      </w:r>
      <w:r>
        <w:rPr>
          <w:rFonts w:eastAsiaTheme="minorEastAsia" w:cstheme="minorHAnsi"/>
          <w:b/>
          <w:bCs/>
          <w:color w:val="222222"/>
          <w:shd w:val="clear" w:color="auto" w:fill="FFFFFF"/>
        </w:rPr>
        <w:t>3</w:t>
      </w:r>
      <w:r w:rsidRPr="00AA53AD">
        <w:rPr>
          <w:rFonts w:eastAsiaTheme="minorEastAsia" w:cstheme="minorHAnsi"/>
          <w:b/>
          <w:bCs/>
          <w:color w:val="222222"/>
          <w:shd w:val="clear" w:color="auto" w:fill="FFFFFF"/>
        </w:rPr>
        <w:t xml:space="preserve">] </w:t>
      </w:r>
      <w:r>
        <w:rPr>
          <w:rFonts w:eastAsiaTheme="minorEastAsia" w:cstheme="minorHAnsi"/>
          <w:b/>
          <w:bCs/>
          <w:color w:val="222222"/>
          <w:shd w:val="clear" w:color="auto" w:fill="FFFFFF"/>
        </w:rPr>
        <w:t>Borra V. (2015)</w:t>
      </w:r>
      <w:r w:rsidRPr="00AA53AD">
        <w:rPr>
          <w:rFonts w:eastAsiaTheme="minorEastAsia" w:cstheme="minorHAnsi"/>
          <w:bCs/>
          <w:color w:val="222222"/>
          <w:shd w:val="clear" w:color="auto" w:fill="FFFFFF"/>
        </w:rPr>
        <w:t xml:space="preserve"> </w:t>
      </w:r>
      <w:r>
        <w:rPr>
          <w:rFonts w:eastAsiaTheme="minorEastAsia" w:cstheme="minorHAnsi"/>
          <w:bCs/>
          <w:color w:val="222222"/>
          <w:shd w:val="clear" w:color="auto" w:fill="FFFFFF"/>
        </w:rPr>
        <w:t>“</w:t>
      </w:r>
      <w:r w:rsidRPr="00AA53AD">
        <w:rPr>
          <w:rFonts w:eastAsiaTheme="minorEastAsia" w:cstheme="minorHAnsi"/>
          <w:bCs/>
          <w:color w:val="222222"/>
          <w:shd w:val="clear" w:color="auto" w:fill="FFFFFF"/>
        </w:rPr>
        <w:t>Estadística Espacial. Muestreo y modelización para la aplicación en estudios socioeconómicos</w:t>
      </w:r>
      <w:r>
        <w:rPr>
          <w:rFonts w:eastAsiaTheme="minorEastAsia" w:cstheme="minorHAnsi"/>
          <w:bCs/>
          <w:color w:val="222222"/>
          <w:shd w:val="clear" w:color="auto" w:fill="FFFFFF"/>
        </w:rPr>
        <w:t>”</w:t>
      </w:r>
      <w:r w:rsidRPr="00AA53AD">
        <w:rPr>
          <w:rFonts w:eastAsiaTheme="minorEastAsia" w:cstheme="minorHAnsi"/>
          <w:bCs/>
          <w:color w:val="222222"/>
          <w:shd w:val="clear" w:color="auto" w:fill="FFFFFF"/>
        </w:rPr>
        <w:t>.</w:t>
      </w:r>
    </w:p>
    <w:p w:rsidR="00815E34" w:rsidRDefault="00815E34" w:rsidP="00815E34">
      <w:pPr>
        <w:tabs>
          <w:tab w:val="right" w:pos="7086"/>
        </w:tabs>
        <w:spacing w:before="100" w:beforeAutospacing="1" w:after="240" w:line="360" w:lineRule="auto"/>
        <w:ind w:right="1418"/>
        <w:jc w:val="both"/>
        <w:rPr>
          <w:rFonts w:eastAsiaTheme="minorEastAsia" w:cstheme="minorHAnsi"/>
          <w:bCs/>
          <w:color w:val="222222"/>
          <w:shd w:val="clear" w:color="auto" w:fill="FFFFFF"/>
          <w:lang w:val="en-US"/>
        </w:rPr>
      </w:pPr>
      <w:r w:rsidRPr="0099381C">
        <w:rPr>
          <w:b/>
          <w:lang w:val="en-US"/>
        </w:rPr>
        <w:t>[</w:t>
      </w:r>
      <w:r>
        <w:rPr>
          <w:b/>
          <w:lang w:val="en-US"/>
        </w:rPr>
        <w:t>4</w:t>
      </w:r>
      <w:r w:rsidRPr="0099381C">
        <w:rPr>
          <w:b/>
          <w:lang w:val="en-US"/>
        </w:rPr>
        <w:t xml:space="preserve">] </w:t>
      </w:r>
      <w:r w:rsidRPr="0099381C">
        <w:rPr>
          <w:rFonts w:eastAsiaTheme="minorEastAsia" w:cstheme="minorHAnsi"/>
          <w:b/>
          <w:bCs/>
          <w:color w:val="222222"/>
          <w:shd w:val="clear" w:color="auto" w:fill="FFFFFF"/>
          <w:lang w:val="en-US"/>
        </w:rPr>
        <w:t>Marshall, R. J. (1991)</w:t>
      </w:r>
      <w:r>
        <w:rPr>
          <w:rFonts w:eastAsiaTheme="minorEastAsia" w:cstheme="minorHAnsi"/>
          <w:bCs/>
          <w:color w:val="222222"/>
          <w:shd w:val="clear" w:color="auto" w:fill="FFFFFF"/>
          <w:lang w:val="en-US"/>
        </w:rPr>
        <w:t xml:space="preserve"> “Mapping disease and mortality rates using empirical Bayes estimators”, Applied Statistics, </w:t>
      </w:r>
      <w:r>
        <w:rPr>
          <w:rFonts w:eastAsiaTheme="minorEastAsia" w:cstheme="minorHAnsi"/>
          <w:b/>
          <w:bCs/>
          <w:color w:val="222222"/>
          <w:shd w:val="clear" w:color="auto" w:fill="FFFFFF"/>
          <w:lang w:val="en-US"/>
        </w:rPr>
        <w:t>40</w:t>
      </w:r>
      <w:r>
        <w:rPr>
          <w:rFonts w:eastAsiaTheme="minorEastAsia" w:cstheme="minorHAnsi"/>
          <w:bCs/>
          <w:color w:val="222222"/>
          <w:shd w:val="clear" w:color="auto" w:fill="FFFFFF"/>
          <w:lang w:val="en-US"/>
        </w:rPr>
        <w:t>, 283–294.</w:t>
      </w:r>
    </w:p>
    <w:p w:rsidR="00815E34" w:rsidRDefault="00815E34" w:rsidP="00815E34">
      <w:pPr>
        <w:tabs>
          <w:tab w:val="right" w:pos="7086"/>
        </w:tabs>
        <w:spacing w:before="100" w:beforeAutospacing="1" w:after="240" w:line="360" w:lineRule="auto"/>
        <w:ind w:right="1418"/>
        <w:jc w:val="both"/>
        <w:rPr>
          <w:rFonts w:eastAsiaTheme="minorEastAsia" w:cstheme="minorHAnsi"/>
          <w:bCs/>
          <w:color w:val="222222"/>
          <w:shd w:val="clear" w:color="auto" w:fill="FFFFFF"/>
          <w:lang w:val="en-US"/>
        </w:rPr>
      </w:pPr>
      <w:r>
        <w:rPr>
          <w:b/>
          <w:lang w:val="en-US"/>
        </w:rPr>
        <w:t>[5</w:t>
      </w:r>
      <w:r w:rsidRPr="00AA53AD">
        <w:rPr>
          <w:b/>
          <w:lang w:val="en-US"/>
        </w:rPr>
        <w:t xml:space="preserve">] </w:t>
      </w:r>
      <w:r w:rsidRPr="00AA53AD">
        <w:rPr>
          <w:rFonts w:eastAsiaTheme="minorEastAsia" w:cstheme="minorHAnsi"/>
          <w:b/>
          <w:bCs/>
          <w:color w:val="222222"/>
          <w:shd w:val="clear" w:color="auto" w:fill="FFFFFF"/>
          <w:lang w:val="en-US"/>
        </w:rPr>
        <w:t>Moran, P. A. P. (1950)</w:t>
      </w:r>
      <w:r>
        <w:rPr>
          <w:rFonts w:eastAsiaTheme="minorEastAsia" w:cstheme="minorHAnsi"/>
          <w:bCs/>
          <w:color w:val="222222"/>
          <w:shd w:val="clear" w:color="auto" w:fill="FFFFFF"/>
          <w:lang w:val="en-US"/>
        </w:rPr>
        <w:t xml:space="preserve"> “Notes on continuous stochastic phenomena”, </w:t>
      </w:r>
      <w:proofErr w:type="spellStart"/>
      <w:r>
        <w:rPr>
          <w:rFonts w:eastAsiaTheme="minorEastAsia" w:cstheme="minorHAnsi"/>
          <w:bCs/>
          <w:color w:val="222222"/>
          <w:shd w:val="clear" w:color="auto" w:fill="FFFFFF"/>
          <w:lang w:val="en-US"/>
        </w:rPr>
        <w:t>Biometrika</w:t>
      </w:r>
      <w:proofErr w:type="spellEnd"/>
      <w:r>
        <w:rPr>
          <w:rFonts w:eastAsiaTheme="minorEastAsia" w:cstheme="minorHAnsi"/>
          <w:bCs/>
          <w:color w:val="222222"/>
          <w:shd w:val="clear" w:color="auto" w:fill="FFFFFF"/>
          <w:lang w:val="en-US"/>
        </w:rPr>
        <w:t xml:space="preserve">, </w:t>
      </w:r>
      <w:r>
        <w:rPr>
          <w:rFonts w:eastAsiaTheme="minorEastAsia" w:cstheme="minorHAnsi"/>
          <w:b/>
          <w:bCs/>
          <w:color w:val="222222"/>
          <w:shd w:val="clear" w:color="auto" w:fill="FFFFFF"/>
          <w:lang w:val="en-US"/>
        </w:rPr>
        <w:t>37</w:t>
      </w:r>
      <w:r>
        <w:rPr>
          <w:rFonts w:eastAsiaTheme="minorEastAsia" w:cstheme="minorHAnsi"/>
          <w:bCs/>
          <w:color w:val="222222"/>
          <w:shd w:val="clear" w:color="auto" w:fill="FFFFFF"/>
          <w:lang w:val="en-US"/>
        </w:rPr>
        <w:t xml:space="preserve">, 17–23. </w:t>
      </w:r>
    </w:p>
    <w:p w:rsidR="00815E34" w:rsidRDefault="00815E34" w:rsidP="00815E34">
      <w:pPr>
        <w:tabs>
          <w:tab w:val="right" w:pos="7086"/>
        </w:tabs>
        <w:spacing w:before="100" w:beforeAutospacing="1" w:after="240" w:line="360" w:lineRule="auto"/>
        <w:ind w:right="1418"/>
        <w:jc w:val="both"/>
        <w:rPr>
          <w:rFonts w:eastAsiaTheme="minorEastAsia" w:cstheme="minorHAnsi"/>
          <w:bCs/>
          <w:color w:val="222222"/>
          <w:shd w:val="clear" w:color="auto" w:fill="FFFFFF"/>
          <w:lang w:val="en-US"/>
        </w:rPr>
      </w:pPr>
      <w:r>
        <w:rPr>
          <w:b/>
          <w:lang w:val="en-US"/>
        </w:rPr>
        <w:t>[6</w:t>
      </w:r>
      <w:r w:rsidRPr="00AA53AD">
        <w:rPr>
          <w:b/>
          <w:lang w:val="en-US"/>
        </w:rPr>
        <w:t xml:space="preserve">] </w:t>
      </w:r>
      <w:r w:rsidRPr="00AA53AD">
        <w:rPr>
          <w:rFonts w:eastAsiaTheme="minorEastAsia" w:cstheme="minorHAnsi"/>
          <w:b/>
          <w:bCs/>
          <w:color w:val="222222"/>
          <w:shd w:val="clear" w:color="auto" w:fill="FFFFFF"/>
          <w:lang w:val="en-US"/>
        </w:rPr>
        <w:t>Oden, N. (1995)</w:t>
      </w:r>
      <w:r>
        <w:rPr>
          <w:rFonts w:eastAsiaTheme="minorEastAsia" w:cstheme="minorHAnsi"/>
          <w:bCs/>
          <w:color w:val="222222"/>
          <w:shd w:val="clear" w:color="auto" w:fill="FFFFFF"/>
          <w:lang w:val="en-US"/>
        </w:rPr>
        <w:t xml:space="preserve"> “Adjusting Moran's I for population density”. </w:t>
      </w:r>
      <w:r>
        <w:rPr>
          <w:rFonts w:eastAsiaTheme="minorEastAsia" w:cstheme="minorHAnsi"/>
          <w:bCs/>
          <w:i/>
          <w:iCs/>
          <w:color w:val="222222"/>
          <w:shd w:val="clear" w:color="auto" w:fill="FFFFFF"/>
          <w:lang w:val="en-US"/>
        </w:rPr>
        <w:t>Statistics in Medicine, 14, 17-26</w:t>
      </w:r>
      <w:r>
        <w:rPr>
          <w:rFonts w:eastAsiaTheme="minorEastAsia" w:cstheme="minorHAnsi"/>
          <w:bCs/>
          <w:color w:val="222222"/>
          <w:shd w:val="clear" w:color="auto" w:fill="FFFFFF"/>
          <w:lang w:val="en-US"/>
        </w:rPr>
        <w:t>.</w:t>
      </w:r>
    </w:p>
    <w:p w:rsidR="00815E34" w:rsidRPr="00AA53AD" w:rsidRDefault="00815E34" w:rsidP="00815E34">
      <w:pPr>
        <w:tabs>
          <w:tab w:val="right" w:pos="7086"/>
        </w:tabs>
        <w:spacing w:before="100" w:beforeAutospacing="1" w:after="240" w:line="360" w:lineRule="auto"/>
        <w:ind w:right="1418"/>
        <w:jc w:val="both"/>
        <w:rPr>
          <w:rFonts w:eastAsiaTheme="minorEastAsia" w:cstheme="minorHAnsi"/>
          <w:bCs/>
          <w:color w:val="222222"/>
          <w:shd w:val="clear" w:color="auto" w:fill="FFFFFF"/>
        </w:rPr>
      </w:pPr>
      <w:r w:rsidRPr="00AA53AD">
        <w:rPr>
          <w:b/>
        </w:rPr>
        <w:t>[</w:t>
      </w:r>
      <w:r>
        <w:rPr>
          <w:b/>
        </w:rPr>
        <w:t>7</w:t>
      </w:r>
      <w:r w:rsidRPr="00AA53AD">
        <w:rPr>
          <w:b/>
        </w:rPr>
        <w:t xml:space="preserve">] </w:t>
      </w:r>
      <w:proofErr w:type="spellStart"/>
      <w:r w:rsidRPr="00AA53AD">
        <w:rPr>
          <w:b/>
        </w:rPr>
        <w:t>Tiefelsdorf</w:t>
      </w:r>
      <w:proofErr w:type="spellEnd"/>
      <w:r w:rsidRPr="00AA53AD">
        <w:rPr>
          <w:b/>
        </w:rPr>
        <w:t xml:space="preserve"> M, </w:t>
      </w:r>
      <w:proofErr w:type="spellStart"/>
      <w:r w:rsidRPr="00AA53AD">
        <w:rPr>
          <w:b/>
        </w:rPr>
        <w:t>Griffith</w:t>
      </w:r>
      <w:proofErr w:type="spellEnd"/>
      <w:r w:rsidRPr="00AA53AD">
        <w:rPr>
          <w:b/>
        </w:rPr>
        <w:t xml:space="preserve"> DA, </w:t>
      </w:r>
      <w:proofErr w:type="spellStart"/>
      <w:r w:rsidRPr="00AA53AD">
        <w:rPr>
          <w:b/>
        </w:rPr>
        <w:t>Boots</w:t>
      </w:r>
      <w:proofErr w:type="spellEnd"/>
      <w:r w:rsidRPr="00AA53AD">
        <w:rPr>
          <w:b/>
        </w:rPr>
        <w:t xml:space="preserve"> B (1999)</w:t>
      </w:r>
      <w:r>
        <w:t xml:space="preserve"> “A </w:t>
      </w:r>
      <w:proofErr w:type="spellStart"/>
      <w:r>
        <w:t>variance-stabilizing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spatial</w:t>
      </w:r>
      <w:proofErr w:type="spellEnd"/>
      <w:r>
        <w:t xml:space="preserve"> link matrices”. </w:t>
      </w:r>
      <w:proofErr w:type="spellStart"/>
      <w:r>
        <w:t>Environment</w:t>
      </w:r>
      <w:proofErr w:type="spellEnd"/>
      <w:r>
        <w:t xml:space="preserve"> and </w:t>
      </w:r>
      <w:proofErr w:type="spellStart"/>
      <w:r>
        <w:t>Planning</w:t>
      </w:r>
      <w:proofErr w:type="spellEnd"/>
      <w:r>
        <w:t xml:space="preserve"> A 31:165–180.</w:t>
      </w:r>
    </w:p>
    <w:p w:rsidR="00815E34" w:rsidRPr="00AA53AD" w:rsidRDefault="00815E34" w:rsidP="00815E34">
      <w:pPr>
        <w:tabs>
          <w:tab w:val="right" w:pos="7086"/>
        </w:tabs>
        <w:spacing w:before="100" w:beforeAutospacing="1" w:after="240" w:line="360" w:lineRule="auto"/>
        <w:ind w:right="1418"/>
        <w:jc w:val="both"/>
        <w:rPr>
          <w:rFonts w:eastAsiaTheme="minorEastAsia" w:cstheme="minorHAnsi"/>
          <w:bCs/>
          <w:color w:val="222222"/>
          <w:shd w:val="clear" w:color="auto" w:fill="FFFFFF"/>
        </w:rPr>
      </w:pPr>
      <w:r w:rsidRPr="00AA53AD">
        <w:rPr>
          <w:b/>
        </w:rPr>
        <w:t>[</w:t>
      </w:r>
      <w:r>
        <w:rPr>
          <w:b/>
        </w:rPr>
        <w:t>8</w:t>
      </w:r>
      <w:r w:rsidRPr="00AA53AD">
        <w:rPr>
          <w:b/>
        </w:rPr>
        <w:t xml:space="preserve">] </w:t>
      </w:r>
      <w:proofErr w:type="spellStart"/>
      <w:r w:rsidRPr="00AA53AD">
        <w:rPr>
          <w:b/>
        </w:rPr>
        <w:t>Tobler</w:t>
      </w:r>
      <w:proofErr w:type="spellEnd"/>
      <w:r w:rsidRPr="00AA53AD">
        <w:rPr>
          <w:b/>
        </w:rPr>
        <w:t xml:space="preserve"> W (1970)</w:t>
      </w:r>
      <w:r>
        <w:t xml:space="preserve"> “A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Urban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Detroit </w:t>
      </w:r>
      <w:proofErr w:type="spellStart"/>
      <w:r>
        <w:t>Region</w:t>
      </w:r>
      <w:proofErr w:type="spellEnd"/>
      <w:r>
        <w:t xml:space="preserve">”.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Geography</w:t>
      </w:r>
      <w:proofErr w:type="spellEnd"/>
      <w:r>
        <w:t xml:space="preserve"> 46(2):234-240.</w:t>
      </w:r>
    </w:p>
    <w:p w:rsidR="00815E34" w:rsidRDefault="00815E34" w:rsidP="00815E34">
      <w:pPr>
        <w:tabs>
          <w:tab w:val="right" w:pos="7086"/>
        </w:tabs>
        <w:spacing w:before="100" w:beforeAutospacing="1" w:after="240" w:line="360" w:lineRule="auto"/>
        <w:ind w:right="1418"/>
        <w:jc w:val="both"/>
        <w:rPr>
          <w:rFonts w:eastAsiaTheme="minorEastAsia" w:cstheme="minorHAnsi"/>
          <w:bCs/>
          <w:color w:val="222222"/>
          <w:shd w:val="clear" w:color="auto" w:fill="FFFFFF"/>
        </w:rPr>
      </w:pPr>
      <w:r w:rsidRPr="00AA53AD">
        <w:rPr>
          <w:b/>
          <w:lang w:val="en-US"/>
        </w:rPr>
        <w:t>[</w:t>
      </w:r>
      <w:r>
        <w:rPr>
          <w:b/>
          <w:lang w:val="en-US"/>
        </w:rPr>
        <w:t>9</w:t>
      </w:r>
      <w:r w:rsidRPr="00AA53AD">
        <w:rPr>
          <w:b/>
          <w:lang w:val="en-US"/>
        </w:rPr>
        <w:t xml:space="preserve">] </w:t>
      </w:r>
      <w:r w:rsidRPr="00AA53AD">
        <w:rPr>
          <w:rFonts w:eastAsiaTheme="minorEastAsia" w:cstheme="minorHAnsi"/>
          <w:b/>
          <w:bCs/>
          <w:color w:val="222222"/>
          <w:shd w:val="clear" w:color="auto" w:fill="FFFFFF"/>
          <w:lang w:val="en-US"/>
        </w:rPr>
        <w:t>Walter, S.D. (1992)</w:t>
      </w:r>
      <w:r>
        <w:rPr>
          <w:rFonts w:eastAsiaTheme="minorEastAsia" w:cstheme="minorHAnsi"/>
          <w:bCs/>
          <w:color w:val="222222"/>
          <w:shd w:val="clear" w:color="auto" w:fill="FFFFFF"/>
          <w:lang w:val="en-US"/>
        </w:rPr>
        <w:t xml:space="preserve"> “The analysis of regional patterns in health data. I. Distributional considerations”. </w:t>
      </w:r>
      <w:r>
        <w:rPr>
          <w:rFonts w:eastAsiaTheme="minorEastAsia" w:cstheme="minorHAnsi"/>
          <w:bCs/>
          <w:i/>
          <w:iCs/>
          <w:color w:val="222222"/>
          <w:shd w:val="clear" w:color="auto" w:fill="FFFFFF"/>
          <w:lang w:val="en-US"/>
        </w:rPr>
        <w:t>American Journal of Epidemiology, 136, 730-741.</w:t>
      </w:r>
    </w:p>
    <w:p w:rsidR="00436093" w:rsidRDefault="00897D3C"/>
    <w:sectPr w:rsidR="00436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B2291"/>
    <w:multiLevelType w:val="hybridMultilevel"/>
    <w:tmpl w:val="D1D8DDC4"/>
    <w:lvl w:ilvl="0" w:tplc="2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96BB6"/>
    <w:multiLevelType w:val="hybridMultilevel"/>
    <w:tmpl w:val="08F6045E"/>
    <w:lvl w:ilvl="0" w:tplc="2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7593D"/>
    <w:multiLevelType w:val="multilevel"/>
    <w:tmpl w:val="62E8C1A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34"/>
    <w:rsid w:val="00080F8B"/>
    <w:rsid w:val="000E0B43"/>
    <w:rsid w:val="003F1037"/>
    <w:rsid w:val="00815E34"/>
    <w:rsid w:val="0088469B"/>
    <w:rsid w:val="00897D3C"/>
    <w:rsid w:val="00A26E94"/>
    <w:rsid w:val="00C47B14"/>
    <w:rsid w:val="00C9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CE9CE"/>
  <w15:chartTrackingRefBased/>
  <w15:docId w15:val="{38697EF2-B260-4005-8251-DB7CFBCD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E34"/>
    <w:pPr>
      <w:spacing w:before="0" w:beforeAutospacing="0" w:after="160" w:afterAutospacing="0" w:line="259" w:lineRule="auto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5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SAN CRISTOBAL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FERRARO Sebastián Mario</dc:creator>
  <cp:keywords/>
  <dc:description/>
  <cp:lastModifiedBy>FERRARO Sebastián Mario</cp:lastModifiedBy>
  <cp:revision>5</cp:revision>
  <dcterms:created xsi:type="dcterms:W3CDTF">2020-10-26T17:27:00Z</dcterms:created>
  <dcterms:modified xsi:type="dcterms:W3CDTF">2020-10-26T23:28:00Z</dcterms:modified>
</cp:coreProperties>
</file>