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404" w:rsidRDefault="003A5404" w:rsidP="003A5404">
      <w:pPr>
        <w:autoSpaceDE w:val="0"/>
        <w:autoSpaceDN w:val="0"/>
        <w:adjustRightInd w:val="0"/>
        <w:spacing w:after="0" w:line="240" w:lineRule="auto"/>
        <w:rPr>
          <w:rFonts w:ascii="SFBX1440" w:hAnsi="SFBX1440" w:cs="SFBX1440"/>
          <w:sz w:val="29"/>
          <w:szCs w:val="29"/>
        </w:rPr>
      </w:pPr>
      <w:r>
        <w:rPr>
          <w:rFonts w:ascii="SFBX1440" w:hAnsi="SFBX1440" w:cs="SFBX1440"/>
          <w:sz w:val="29"/>
          <w:szCs w:val="29"/>
        </w:rPr>
        <w:t>Configuración de un proyecto para la placa S3CEV40</w:t>
      </w:r>
    </w:p>
    <w:p w:rsidR="003A5404" w:rsidRDefault="003A5404" w:rsidP="003A5404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Para esta práctica añadiremos como de costumbre un nuevo proyecto a nuestro</w:t>
      </w:r>
    </w:p>
    <w:p w:rsidR="003A5404" w:rsidRDefault="003A5404" w:rsidP="003A5404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proofErr w:type="spellStart"/>
      <w:proofErr w:type="gramStart"/>
      <w:r>
        <w:rPr>
          <w:rFonts w:ascii="SFTT1095" w:hAnsi="SFTT1095" w:cs="SFTT1095"/>
        </w:rPr>
        <w:t>workspace</w:t>
      </w:r>
      <w:proofErr w:type="spellEnd"/>
      <w:proofErr w:type="gramEnd"/>
      <w:r>
        <w:rPr>
          <w:rFonts w:ascii="SFRM1095" w:hAnsi="SFRM1095" w:cs="SFRM1095"/>
        </w:rPr>
        <w:t>. Toda la configuración de compilación se hace igual que siempre. Sin embargo,</w:t>
      </w:r>
      <w:r>
        <w:rPr>
          <w:rFonts w:ascii="SFRM1095" w:hAnsi="SFRM1095" w:cs="SFRM1095"/>
        </w:rPr>
        <w:t xml:space="preserve"> </w:t>
      </w:r>
      <w:r>
        <w:rPr>
          <w:rFonts w:ascii="SFRM1095" w:hAnsi="SFRM1095" w:cs="SFRM1095"/>
        </w:rPr>
        <w:t>en esta ocasión queremos ejecutar nuestro código sobre el arm7tdmi de la placa S3CEV40,</w:t>
      </w:r>
      <w:r>
        <w:rPr>
          <w:rFonts w:ascii="SFRM1095" w:hAnsi="SFRM1095" w:cs="SFRM1095"/>
        </w:rPr>
        <w:t xml:space="preserve"> </w:t>
      </w:r>
      <w:r>
        <w:rPr>
          <w:rFonts w:ascii="SFRM1095" w:hAnsi="SFRM1095" w:cs="SFRM1095"/>
        </w:rPr>
        <w:t>en lugar de utilizar el simulador, por lo que no nos vale la configuración de depuración que</w:t>
      </w:r>
      <w:r>
        <w:rPr>
          <w:rFonts w:ascii="SFRM1095" w:hAnsi="SFRM1095" w:cs="SFRM1095"/>
        </w:rPr>
        <w:t xml:space="preserve"> </w:t>
      </w:r>
      <w:r>
        <w:rPr>
          <w:rFonts w:ascii="SFRM1095" w:hAnsi="SFRM1095" w:cs="SFRM1095"/>
        </w:rPr>
        <w:t>hemos venido utilizando.</w:t>
      </w:r>
    </w:p>
    <w:p w:rsidR="003A5404" w:rsidRDefault="003A5404" w:rsidP="003A5404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</w:p>
    <w:p w:rsidR="003A5404" w:rsidRDefault="003A5404" w:rsidP="003A5404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</w:p>
    <w:p w:rsidR="003A5404" w:rsidRDefault="003A5404" w:rsidP="003A5404">
      <w:pPr>
        <w:autoSpaceDE w:val="0"/>
        <w:autoSpaceDN w:val="0"/>
        <w:adjustRightInd w:val="0"/>
        <w:spacing w:after="0" w:line="240" w:lineRule="auto"/>
        <w:rPr>
          <w:rFonts w:ascii="SFTT1095" w:hAnsi="SFTT1095" w:cs="SFTT1095"/>
        </w:rPr>
      </w:pPr>
      <w:r>
        <w:rPr>
          <w:rFonts w:ascii="SFRM1095" w:hAnsi="SFRM1095" w:cs="SFRM1095"/>
        </w:rPr>
        <w:t>Lo primero que debemos hacer es configurar Eclipse para utilizar una herramienta</w:t>
      </w:r>
      <w:r>
        <w:rPr>
          <w:rFonts w:ascii="SFRM1095" w:hAnsi="SFRM1095" w:cs="SFRM1095"/>
        </w:rPr>
        <w:t xml:space="preserve"> </w:t>
      </w:r>
      <w:r>
        <w:rPr>
          <w:rFonts w:ascii="SFRM1095" w:hAnsi="SFRM1095" w:cs="SFRM1095"/>
        </w:rPr>
        <w:t xml:space="preserve">externa. Para ello seleccionamos </w:t>
      </w:r>
      <w:proofErr w:type="spellStart"/>
      <w:r>
        <w:rPr>
          <w:rFonts w:ascii="SFTT1095" w:hAnsi="SFTT1095" w:cs="SFTT1095"/>
        </w:rPr>
        <w:t>Run</w:t>
      </w:r>
      <w:proofErr w:type="spellEnd"/>
      <w:r>
        <w:rPr>
          <w:rFonts w:ascii="CMSY10" w:eastAsia="CMSY10" w:hAnsi="SFBX1440" w:cs="CMSY10" w:hint="eastAsia"/>
          <w:i/>
          <w:iCs/>
        </w:rPr>
        <w:t>→</w:t>
      </w:r>
      <w:proofErr w:type="spellStart"/>
      <w:r>
        <w:rPr>
          <w:rFonts w:ascii="SFTT1095" w:hAnsi="SFTT1095" w:cs="SFTT1095"/>
        </w:rPr>
        <w:t>External</w:t>
      </w:r>
      <w:proofErr w:type="spellEnd"/>
      <w:r>
        <w:rPr>
          <w:rFonts w:ascii="SFTT1095" w:hAnsi="SFTT1095" w:cs="SFTT1095"/>
        </w:rPr>
        <w:t xml:space="preserve"> Tools</w:t>
      </w:r>
      <w:r>
        <w:rPr>
          <w:rFonts w:ascii="CMSY10" w:eastAsia="CMSY10" w:hAnsi="SFBX1440" w:cs="CMSY10" w:hint="eastAsia"/>
          <w:i/>
          <w:iCs/>
        </w:rPr>
        <w:t>→</w:t>
      </w:r>
      <w:proofErr w:type="spellStart"/>
      <w:r>
        <w:rPr>
          <w:rFonts w:ascii="SFTT1095" w:hAnsi="SFTT1095" w:cs="SFTT1095"/>
        </w:rPr>
        <w:t>External</w:t>
      </w:r>
      <w:proofErr w:type="spellEnd"/>
      <w:r>
        <w:rPr>
          <w:rFonts w:ascii="SFTT1095" w:hAnsi="SFTT1095" w:cs="SFTT1095"/>
        </w:rPr>
        <w:t xml:space="preserve"> Tools</w:t>
      </w:r>
    </w:p>
    <w:p w:rsidR="003A5404" w:rsidRDefault="003A5404" w:rsidP="003A5404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color w:val="000000"/>
        </w:rPr>
      </w:pPr>
      <w:proofErr w:type="spellStart"/>
      <w:r>
        <w:rPr>
          <w:rFonts w:ascii="SFTT1095" w:hAnsi="SFTT1095" w:cs="SFTT1095"/>
        </w:rPr>
        <w:t>Configurations</w:t>
      </w:r>
      <w:proofErr w:type="spellEnd"/>
      <w:r>
        <w:rPr>
          <w:rFonts w:ascii="SFTT1095" w:hAnsi="SFTT1095" w:cs="SFTT1095"/>
        </w:rPr>
        <w:t xml:space="preserve">... </w:t>
      </w:r>
      <w:r>
        <w:rPr>
          <w:rFonts w:ascii="SFRM1095" w:hAnsi="SFRM1095" w:cs="SFRM1095"/>
        </w:rPr>
        <w:t>(</w:t>
      </w:r>
      <w:r>
        <w:rPr>
          <w:rFonts w:ascii="SFRM1095" w:hAnsi="SFRM1095" w:cs="SFRM1095"/>
        </w:rPr>
        <w:t>También</w:t>
      </w:r>
      <w:r>
        <w:rPr>
          <w:rFonts w:ascii="SFRM1095" w:hAnsi="SFRM1095" w:cs="SFRM1095"/>
        </w:rPr>
        <w:t xml:space="preserve"> puede llegarse al mismo s</w:t>
      </w:r>
      <w:r>
        <w:rPr>
          <w:rFonts w:ascii="SFRM1095" w:hAnsi="SFRM1095" w:cs="SFRM1095"/>
        </w:rPr>
        <w:t>itio pinchando en la flecha del botón</w:t>
      </w:r>
      <w:r>
        <w:rPr>
          <w:rFonts w:ascii="SFRM1095" w:hAnsi="SFRM1095" w:cs="SFRM1095"/>
        </w:rPr>
        <w:t>). Se abrirá una ventana en la que podemos configurar el uso de una nueva herramienta</w:t>
      </w:r>
      <w:r>
        <w:rPr>
          <w:rFonts w:ascii="SFRM1095" w:hAnsi="SFRM1095" w:cs="SFRM1095"/>
        </w:rPr>
        <w:t xml:space="preserve"> </w:t>
      </w:r>
      <w:r>
        <w:rPr>
          <w:rFonts w:ascii="SFRM1095" w:hAnsi="SFRM1095" w:cs="SFRM1095"/>
        </w:rPr>
        <w:t xml:space="preserve">externa. Para ello debemos pinchar en </w:t>
      </w:r>
      <w:proofErr w:type="spellStart"/>
      <w:r>
        <w:rPr>
          <w:rFonts w:ascii="SFTT1095" w:hAnsi="SFTT1095" w:cs="SFTT1095"/>
        </w:rPr>
        <w:t>Program</w:t>
      </w:r>
      <w:proofErr w:type="spellEnd"/>
      <w:r>
        <w:rPr>
          <w:rFonts w:ascii="SFRM1095" w:hAnsi="SFRM1095" w:cs="SFRM1095"/>
        </w:rPr>
        <w:t>, con lo que se habilitarán unos</w:t>
      </w:r>
      <w:r>
        <w:rPr>
          <w:rFonts w:ascii="SFRM1095" w:hAnsi="SFRM1095" w:cs="SFRM1095"/>
        </w:rPr>
        <w:t xml:space="preserve"> </w:t>
      </w:r>
      <w:r>
        <w:rPr>
          <w:rFonts w:ascii="SFRM1095" w:hAnsi="SFRM1095" w:cs="SFRM1095"/>
        </w:rPr>
        <w:t>botones y pinchamos en el primero de ellos ( ). La Figura 5.6 muestra cómo debemos rellenar</w:t>
      </w:r>
      <w:r>
        <w:rPr>
          <w:rFonts w:ascii="SFRM1095" w:hAnsi="SFRM1095" w:cs="SFRM1095"/>
        </w:rPr>
        <w:t xml:space="preserve"> </w:t>
      </w:r>
      <w:r>
        <w:rPr>
          <w:rFonts w:ascii="SFRM1095" w:hAnsi="SFRM1095" w:cs="SFRM1095"/>
        </w:rPr>
        <w:t>el resto de la ventana. Para rellenar la primera entrada podemos pinchar en el botón</w:t>
      </w:r>
      <w:r>
        <w:rPr>
          <w:rFonts w:ascii="SFRM1095" w:hAnsi="SFRM1095" w:cs="SFRM1095"/>
        </w:rPr>
        <w:t xml:space="preserve"> </w:t>
      </w:r>
      <w:proofErr w:type="spellStart"/>
      <w:r>
        <w:rPr>
          <w:rFonts w:ascii="SFTT1095" w:hAnsi="SFTT1095" w:cs="SFTT1095"/>
        </w:rPr>
        <w:t>Browse</w:t>
      </w:r>
      <w:proofErr w:type="spellEnd"/>
      <w:r>
        <w:rPr>
          <w:rFonts w:ascii="SFTT1095" w:hAnsi="SFTT1095" w:cs="SFTT1095"/>
        </w:rPr>
        <w:t xml:space="preserve"> File </w:t>
      </w:r>
      <w:proofErr w:type="spellStart"/>
      <w:r>
        <w:rPr>
          <w:rFonts w:ascii="SFTT1095" w:hAnsi="SFTT1095" w:cs="SFTT1095"/>
        </w:rPr>
        <w:t>System</w:t>
      </w:r>
      <w:proofErr w:type="spellEnd"/>
      <w:r>
        <w:rPr>
          <w:rFonts w:ascii="SFTT1095" w:hAnsi="SFTT1095" w:cs="SFTT1095"/>
        </w:rPr>
        <w:t xml:space="preserve">... </w:t>
      </w:r>
      <w:r>
        <w:rPr>
          <w:rFonts w:ascii="SFRM1095" w:hAnsi="SFRM1095" w:cs="SFRM1095"/>
        </w:rPr>
        <w:t xml:space="preserve">y buscamos el ejecutable de </w:t>
      </w:r>
      <w:proofErr w:type="spellStart"/>
      <w:r>
        <w:rPr>
          <w:rFonts w:ascii="SFTT1095" w:hAnsi="SFTT1095" w:cs="SFTT1095"/>
        </w:rPr>
        <w:t>OpenOCD</w:t>
      </w:r>
      <w:proofErr w:type="spellEnd"/>
      <w:r>
        <w:rPr>
          <w:rFonts w:ascii="SFTT1095" w:hAnsi="SFTT1095" w:cs="SFTT1095"/>
        </w:rPr>
        <w:t xml:space="preserve"> </w:t>
      </w:r>
      <w:r>
        <w:rPr>
          <w:rFonts w:ascii="SFRM1095" w:hAnsi="SFRM1095" w:cs="SFRM1095"/>
        </w:rPr>
        <w:t>en el sistema (téngase en</w:t>
      </w:r>
      <w:r>
        <w:rPr>
          <w:rFonts w:ascii="SFRM1095" w:hAnsi="SFRM1095" w:cs="SFRM1095"/>
        </w:rPr>
        <w:t xml:space="preserve"> </w:t>
      </w:r>
      <w:r>
        <w:rPr>
          <w:rFonts w:ascii="SFRM1095" w:hAnsi="SFRM1095" w:cs="SFRM1095"/>
        </w:rPr>
        <w:t>cuenta que la ruta mostrada en la figura puede ser distinta a la ruta que tengamos que poner</w:t>
      </w:r>
      <w:r>
        <w:rPr>
          <w:rFonts w:ascii="SFRM1095" w:hAnsi="SFRM1095" w:cs="SFRM1095"/>
        </w:rPr>
        <w:t xml:space="preserve"> </w:t>
      </w:r>
      <w:r>
        <w:rPr>
          <w:rFonts w:ascii="SFRM1095" w:hAnsi="SFRM1095" w:cs="SFRM1095"/>
        </w:rPr>
        <w:t>en el laboratorio). Del mismo modo, para seleccionar el directorio de trabajo podemos</w:t>
      </w:r>
      <w:r>
        <w:rPr>
          <w:rFonts w:ascii="SFRM1095" w:hAnsi="SFRM1095" w:cs="SFRM1095"/>
        </w:rPr>
        <w:t xml:space="preserve"> </w:t>
      </w:r>
      <w:r>
        <w:rPr>
          <w:rFonts w:ascii="SFRM1095" w:hAnsi="SFRM1095" w:cs="SFRM1095"/>
        </w:rPr>
        <w:t xml:space="preserve">pinchar en el botón </w:t>
      </w:r>
      <w:proofErr w:type="spellStart"/>
      <w:r>
        <w:rPr>
          <w:rFonts w:ascii="SFTT1095" w:hAnsi="SFTT1095" w:cs="SFTT1095"/>
        </w:rPr>
        <w:t>Browse</w:t>
      </w:r>
      <w:proofErr w:type="spellEnd"/>
      <w:r>
        <w:rPr>
          <w:rFonts w:ascii="SFTT1095" w:hAnsi="SFTT1095" w:cs="SFTT1095"/>
        </w:rPr>
        <w:t xml:space="preserve"> </w:t>
      </w:r>
      <w:proofErr w:type="spellStart"/>
      <w:r>
        <w:rPr>
          <w:rFonts w:ascii="SFTT1095" w:hAnsi="SFTT1095" w:cs="SFTT1095"/>
        </w:rPr>
        <w:t>Workspace</w:t>
      </w:r>
      <w:proofErr w:type="spellEnd"/>
      <w:r>
        <w:rPr>
          <w:rFonts w:ascii="SFTT1095" w:hAnsi="SFTT1095" w:cs="SFTT1095"/>
        </w:rPr>
        <w:t>...</w:t>
      </w:r>
      <w:r>
        <w:rPr>
          <w:rFonts w:ascii="SFRM1095" w:hAnsi="SFRM1095" w:cs="SFRM1095"/>
        </w:rPr>
        <w:t>. Finalmente debemos rellenar los argumentos al</w:t>
      </w:r>
      <w:r>
        <w:rPr>
          <w:rFonts w:ascii="SFRM1095" w:hAnsi="SFRM1095" w:cs="SFRM1095"/>
        </w:rPr>
        <w:t xml:space="preserve"> </w:t>
      </w:r>
      <w:r>
        <w:rPr>
          <w:rFonts w:ascii="SFRM1095" w:hAnsi="SFRM1095" w:cs="SFRM1095"/>
          <w:color w:val="000000"/>
        </w:rPr>
        <w:t>programa (</w:t>
      </w:r>
      <w:r>
        <w:rPr>
          <w:rFonts w:ascii="SFTT1095" w:hAnsi="SFTT1095" w:cs="SFTT1095"/>
          <w:color w:val="000000"/>
        </w:rPr>
        <w:t>-f test/</w:t>
      </w:r>
      <w:proofErr w:type="spellStart"/>
      <w:r>
        <w:rPr>
          <w:rFonts w:ascii="SFTT1095" w:hAnsi="SFTT1095" w:cs="SFTT1095"/>
          <w:color w:val="000000"/>
        </w:rPr>
        <w:t>arm-fdi-ucm.cfg</w:t>
      </w:r>
      <w:proofErr w:type="spellEnd"/>
      <w:r>
        <w:rPr>
          <w:rFonts w:ascii="SFRM1095" w:hAnsi="SFRM1095" w:cs="SFRM1095"/>
          <w:color w:val="000000"/>
        </w:rPr>
        <w:t>) tal y como se indica en la Figura 5.6. Terminamos</w:t>
      </w:r>
      <w:r>
        <w:rPr>
          <w:rFonts w:ascii="SFRM1095" w:hAnsi="SFRM1095" w:cs="SFRM1095"/>
          <w:color w:val="000000"/>
        </w:rPr>
        <w:t xml:space="preserve"> </w:t>
      </w:r>
      <w:r>
        <w:rPr>
          <w:rFonts w:ascii="SFRM1095" w:hAnsi="SFRM1095" w:cs="SFRM1095"/>
          <w:color w:val="000000"/>
        </w:rPr>
        <w:t xml:space="preserve">pinchando en </w:t>
      </w:r>
      <w:proofErr w:type="spellStart"/>
      <w:r>
        <w:rPr>
          <w:rFonts w:ascii="SFTT1095" w:hAnsi="SFTT1095" w:cs="SFTT1095"/>
          <w:color w:val="000000"/>
        </w:rPr>
        <w:t>Apply</w:t>
      </w:r>
      <w:proofErr w:type="spellEnd"/>
      <w:r>
        <w:rPr>
          <w:rFonts w:ascii="SFTT1095" w:hAnsi="SFTT1095" w:cs="SFTT1095"/>
          <w:color w:val="000000"/>
        </w:rPr>
        <w:t xml:space="preserve"> </w:t>
      </w:r>
      <w:r>
        <w:rPr>
          <w:rFonts w:ascii="SFRM1095" w:hAnsi="SFRM1095" w:cs="SFRM1095"/>
          <w:color w:val="000000"/>
        </w:rPr>
        <w:t xml:space="preserve">y </w:t>
      </w:r>
      <w:proofErr w:type="spellStart"/>
      <w:r>
        <w:rPr>
          <w:rFonts w:ascii="SFTT1095" w:hAnsi="SFTT1095" w:cs="SFTT1095"/>
          <w:color w:val="000000"/>
        </w:rPr>
        <w:t>Close</w:t>
      </w:r>
      <w:proofErr w:type="spellEnd"/>
      <w:r>
        <w:rPr>
          <w:rFonts w:ascii="SFRM1095" w:hAnsi="SFRM1095" w:cs="SFRM1095"/>
          <w:color w:val="000000"/>
        </w:rPr>
        <w:t>. Esta herramienta externa la tendremos que ejecutar antes de</w:t>
      </w:r>
      <w:r>
        <w:rPr>
          <w:rFonts w:ascii="SFRM1095" w:hAnsi="SFRM1095" w:cs="SFRM1095"/>
          <w:color w:val="000000"/>
        </w:rPr>
        <w:t xml:space="preserve"> </w:t>
      </w:r>
      <w:r>
        <w:rPr>
          <w:rFonts w:ascii="SFRM1095" w:hAnsi="SFRM1095" w:cs="SFRM1095"/>
          <w:color w:val="000000"/>
        </w:rPr>
        <w:t>comenzar la depuración, con la placa conectada a un puerto USB del equipo de laboratorio,</w:t>
      </w:r>
      <w:r>
        <w:rPr>
          <w:rFonts w:ascii="SFRM1095" w:hAnsi="SFRM1095" w:cs="SFRM1095"/>
          <w:color w:val="000000"/>
        </w:rPr>
        <w:t xml:space="preserve"> </w:t>
      </w:r>
      <w:r>
        <w:rPr>
          <w:rFonts w:ascii="SFRM1095" w:hAnsi="SFRM1095" w:cs="SFRM1095"/>
          <w:color w:val="000000"/>
        </w:rPr>
        <w:t>tal y como indicamos en la siguiente sección.</w:t>
      </w:r>
    </w:p>
    <w:p w:rsidR="003A5404" w:rsidRDefault="003A5404" w:rsidP="003A5404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color w:val="000000"/>
        </w:rPr>
      </w:pPr>
    </w:p>
    <w:p w:rsidR="003A5404" w:rsidRPr="003A5404" w:rsidRDefault="003A5404" w:rsidP="003A5404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color w:val="000000"/>
        </w:rPr>
      </w:pPr>
      <w:r>
        <w:rPr>
          <w:rFonts w:ascii="SFRM1095" w:hAnsi="SFRM1095" w:cs="SFRM1095"/>
          <w:color w:val="000000"/>
        </w:rPr>
        <w:t xml:space="preserve">Además de añadir </w:t>
      </w:r>
      <w:proofErr w:type="spellStart"/>
      <w:r>
        <w:rPr>
          <w:rFonts w:ascii="SFRM1095" w:hAnsi="SFRM1095" w:cs="SFRM1095"/>
          <w:color w:val="000000"/>
        </w:rPr>
        <w:t>OpenOCD</w:t>
      </w:r>
      <w:proofErr w:type="spellEnd"/>
      <w:r>
        <w:rPr>
          <w:rFonts w:ascii="SFRM1095" w:hAnsi="SFRM1095" w:cs="SFRM1095"/>
          <w:color w:val="000000"/>
        </w:rPr>
        <w:t xml:space="preserve"> como herramienta externa debemos crear una nueva</w:t>
      </w:r>
      <w:r>
        <w:rPr>
          <w:rFonts w:ascii="SFRM1095" w:hAnsi="SFRM1095" w:cs="SFRM1095"/>
          <w:color w:val="000000"/>
        </w:rPr>
        <w:t xml:space="preserve"> </w:t>
      </w:r>
      <w:r>
        <w:rPr>
          <w:rFonts w:ascii="SFRM1095" w:hAnsi="SFRM1095" w:cs="SFRM1095"/>
          <w:color w:val="000000"/>
        </w:rPr>
        <w:t>configuración de depuración. Los pasos iniciales se dieron en la práctica 1. Lo único que</w:t>
      </w:r>
      <w:r>
        <w:rPr>
          <w:rFonts w:ascii="SFRM1095" w:hAnsi="SFRM1095" w:cs="SFRM1095"/>
          <w:color w:val="000000"/>
        </w:rPr>
        <w:t xml:space="preserve"> </w:t>
      </w:r>
      <w:r>
        <w:rPr>
          <w:rFonts w:ascii="SFRM1095" w:hAnsi="SFRM1095" w:cs="SFRM1095"/>
          <w:color w:val="000000"/>
        </w:rPr>
        <w:t xml:space="preserve">cambia es que en esta ocasión en lugar de seleccionar </w:t>
      </w:r>
      <w:proofErr w:type="spellStart"/>
      <w:r>
        <w:rPr>
          <w:rFonts w:ascii="SFTT1095" w:hAnsi="SFTT1095" w:cs="SFTT1095"/>
          <w:color w:val="000000"/>
        </w:rPr>
        <w:t>Zylin</w:t>
      </w:r>
      <w:proofErr w:type="spellEnd"/>
      <w:r>
        <w:rPr>
          <w:rFonts w:ascii="SFTT1095" w:hAnsi="SFTT1095" w:cs="SFTT1095"/>
          <w:color w:val="000000"/>
        </w:rPr>
        <w:t xml:space="preserve"> </w:t>
      </w:r>
      <w:r>
        <w:rPr>
          <w:rFonts w:ascii="SFRM1095" w:hAnsi="SFRM1095" w:cs="SFRM1095"/>
          <w:color w:val="000000"/>
        </w:rPr>
        <w:t xml:space="preserve">debemos seleccionar </w:t>
      </w:r>
      <w:r>
        <w:rPr>
          <w:rFonts w:ascii="SFTT1095" w:hAnsi="SFTT1095" w:cs="SFTT1095"/>
          <w:color w:val="000000"/>
        </w:rPr>
        <w:t>GDB</w:t>
      </w:r>
      <w:r>
        <w:rPr>
          <w:rFonts w:ascii="SFTT1095" w:hAnsi="SFTT1095" w:cs="SFTT1095"/>
          <w:color w:val="000000"/>
        </w:rPr>
        <w:t xml:space="preserve"> </w:t>
      </w:r>
      <w:r>
        <w:rPr>
          <w:rFonts w:ascii="SFTT1095" w:hAnsi="SFTT1095" w:cs="SFTT1095"/>
          <w:color w:val="000000"/>
        </w:rPr>
        <w:t xml:space="preserve">Hardware </w:t>
      </w:r>
      <w:proofErr w:type="spellStart"/>
      <w:r>
        <w:rPr>
          <w:rFonts w:ascii="SFTT1095" w:hAnsi="SFTT1095" w:cs="SFTT1095"/>
          <w:color w:val="000000"/>
        </w:rPr>
        <w:t>Debugging</w:t>
      </w:r>
      <w:proofErr w:type="spellEnd"/>
      <w:r>
        <w:rPr>
          <w:rFonts w:ascii="SFRM1095" w:hAnsi="SFRM1095" w:cs="SFRM1095"/>
          <w:color w:val="000000"/>
        </w:rPr>
        <w:t>, como muestra la Figura 5.7. Como en las prácticas anteriores, damos</w:t>
      </w:r>
      <w:r>
        <w:rPr>
          <w:rFonts w:ascii="SFRM1095" w:hAnsi="SFRM1095" w:cs="SFRM1095"/>
          <w:color w:val="000000"/>
        </w:rPr>
        <w:t xml:space="preserve"> </w:t>
      </w:r>
      <w:r>
        <w:rPr>
          <w:rFonts w:ascii="SFRM1095" w:hAnsi="SFRM1095" w:cs="SFRM1095"/>
          <w:color w:val="000000"/>
        </w:rPr>
        <w:t>un nombre a la configuración, seleccionamos el proyecto y el ejecutable. En este caso</w:t>
      </w:r>
      <w:r>
        <w:rPr>
          <w:rFonts w:ascii="SFRM1095" w:hAnsi="SFRM1095" w:cs="SFRM1095"/>
          <w:color w:val="000000"/>
        </w:rPr>
        <w:t xml:space="preserve"> </w:t>
      </w:r>
      <w:r>
        <w:rPr>
          <w:rFonts w:ascii="SFRM1095" w:hAnsi="SFRM1095" w:cs="SFRM1095"/>
          <w:color w:val="000000"/>
        </w:rPr>
        <w:t>debemos además pinchar en un enlace azul que aparece en la base de la ventana que pone</w:t>
      </w:r>
      <w:r>
        <w:rPr>
          <w:rFonts w:ascii="SFRM1095" w:hAnsi="SFRM1095" w:cs="SFRM1095"/>
          <w:color w:val="000000"/>
        </w:rPr>
        <w:t xml:space="preserve"> </w:t>
      </w:r>
      <w:proofErr w:type="spellStart"/>
      <w:r>
        <w:rPr>
          <w:rFonts w:ascii="SFRM1095" w:hAnsi="SFRM1095" w:cs="SFRM1095"/>
          <w:color w:val="3C68B3"/>
        </w:rPr>
        <w:t>Select</w:t>
      </w:r>
      <w:proofErr w:type="spellEnd"/>
      <w:r>
        <w:rPr>
          <w:rFonts w:ascii="SFRM1095" w:hAnsi="SFRM1095" w:cs="SFRM1095"/>
          <w:color w:val="3C68B3"/>
        </w:rPr>
        <w:t xml:space="preserve"> </w:t>
      </w:r>
      <w:proofErr w:type="spellStart"/>
      <w:r>
        <w:rPr>
          <w:rFonts w:ascii="SFRM1095" w:hAnsi="SFRM1095" w:cs="SFRM1095"/>
          <w:color w:val="3C68B3"/>
        </w:rPr>
        <w:t>Other</w:t>
      </w:r>
      <w:proofErr w:type="spellEnd"/>
      <w:r>
        <w:rPr>
          <w:rFonts w:ascii="SFRM1095" w:hAnsi="SFRM1095" w:cs="SFRM1095"/>
          <w:color w:val="3C68B3"/>
        </w:rPr>
        <w:t xml:space="preserve">. . . </w:t>
      </w:r>
      <w:r>
        <w:rPr>
          <w:rFonts w:ascii="SFRM1095" w:hAnsi="SFRM1095" w:cs="SFRM1095"/>
          <w:color w:val="000000"/>
        </w:rPr>
        <w:t>. Se abrirá entonces una ventana como la mostrada en la Figura 5.8, en</w:t>
      </w:r>
      <w:r>
        <w:rPr>
          <w:rFonts w:ascii="SFRM1095" w:hAnsi="SFRM1095" w:cs="SFRM1095"/>
          <w:color w:val="000000"/>
        </w:rPr>
        <w:t xml:space="preserve"> </w:t>
      </w:r>
      <w:r>
        <w:rPr>
          <w:rFonts w:ascii="SFRM1095" w:hAnsi="SFRM1095" w:cs="SFRM1095"/>
          <w:color w:val="000000"/>
        </w:rPr>
        <w:t xml:space="preserve">donde deberemos marcar la casilla </w:t>
      </w:r>
      <w:r>
        <w:rPr>
          <w:rFonts w:ascii="SFTT1095" w:hAnsi="SFTT1095" w:cs="SFTT1095"/>
          <w:color w:val="000000"/>
        </w:rPr>
        <w:t xml:space="preserve">Use </w:t>
      </w:r>
      <w:proofErr w:type="spellStart"/>
      <w:r>
        <w:rPr>
          <w:rFonts w:ascii="SFTT1095" w:hAnsi="SFTT1095" w:cs="SFTT1095"/>
          <w:color w:val="000000"/>
        </w:rPr>
        <w:t>configuration</w:t>
      </w:r>
      <w:proofErr w:type="spellEnd"/>
      <w:r>
        <w:rPr>
          <w:rFonts w:ascii="SFTT1095" w:hAnsi="SFTT1095" w:cs="SFTT1095"/>
          <w:color w:val="000000"/>
        </w:rPr>
        <w:t xml:space="preserve"> </w:t>
      </w:r>
      <w:proofErr w:type="spellStart"/>
      <w:r>
        <w:rPr>
          <w:rFonts w:ascii="SFTT1095" w:hAnsi="SFTT1095" w:cs="SFTT1095"/>
          <w:color w:val="000000"/>
        </w:rPr>
        <w:t>specific</w:t>
      </w:r>
      <w:proofErr w:type="spellEnd"/>
      <w:r>
        <w:rPr>
          <w:rFonts w:ascii="SFTT1095" w:hAnsi="SFTT1095" w:cs="SFTT1095"/>
          <w:color w:val="000000"/>
        </w:rPr>
        <w:t xml:space="preserve"> </w:t>
      </w:r>
      <w:proofErr w:type="spellStart"/>
      <w:r>
        <w:rPr>
          <w:rFonts w:ascii="SFTT1095" w:hAnsi="SFTT1095" w:cs="SFTT1095"/>
          <w:color w:val="000000"/>
        </w:rPr>
        <w:t>settings</w:t>
      </w:r>
      <w:proofErr w:type="spellEnd"/>
      <w:r>
        <w:rPr>
          <w:rFonts w:ascii="SFTT1095" w:hAnsi="SFTT1095" w:cs="SFTT1095"/>
          <w:color w:val="000000"/>
        </w:rPr>
        <w:t xml:space="preserve"> </w:t>
      </w:r>
      <w:r>
        <w:rPr>
          <w:rFonts w:ascii="SFRM1095" w:hAnsi="SFRM1095" w:cs="SFRM1095"/>
          <w:color w:val="000000"/>
        </w:rPr>
        <w:t>y seleccionar</w:t>
      </w:r>
      <w:r>
        <w:rPr>
          <w:rFonts w:ascii="SFRM1095" w:hAnsi="SFRM1095" w:cs="SFRM1095"/>
          <w:color w:val="000000"/>
        </w:rPr>
        <w:t xml:space="preserve"> </w:t>
      </w:r>
      <w:r w:rsidRPr="003A5404">
        <w:rPr>
          <w:rFonts w:ascii="SFTT1095" w:hAnsi="SFTT1095" w:cs="SFTT1095"/>
          <w:color w:val="000000"/>
        </w:rPr>
        <w:t xml:space="preserve">Standard GDB Hardware </w:t>
      </w:r>
      <w:proofErr w:type="spellStart"/>
      <w:r w:rsidRPr="003A5404">
        <w:rPr>
          <w:rFonts w:ascii="SFTT1095" w:hAnsi="SFTT1095" w:cs="SFTT1095"/>
          <w:color w:val="000000"/>
        </w:rPr>
        <w:t>Debbuging</w:t>
      </w:r>
      <w:proofErr w:type="spellEnd"/>
      <w:r w:rsidRPr="003A5404">
        <w:rPr>
          <w:rFonts w:ascii="SFTT1095" w:hAnsi="SFTT1095" w:cs="SFTT1095"/>
          <w:color w:val="000000"/>
        </w:rPr>
        <w:t xml:space="preserve"> </w:t>
      </w:r>
      <w:proofErr w:type="spellStart"/>
      <w:r w:rsidRPr="003A5404">
        <w:rPr>
          <w:rFonts w:ascii="SFTT1095" w:hAnsi="SFTT1095" w:cs="SFTT1095"/>
          <w:color w:val="000000"/>
        </w:rPr>
        <w:t>Launcher</w:t>
      </w:r>
      <w:proofErr w:type="spellEnd"/>
      <w:r w:rsidRPr="003A5404">
        <w:rPr>
          <w:rFonts w:ascii="SFRM1095" w:hAnsi="SFRM1095" w:cs="SFRM1095"/>
          <w:color w:val="000000"/>
        </w:rPr>
        <w:t>.</w:t>
      </w:r>
    </w:p>
    <w:p w:rsidR="003A5404" w:rsidRDefault="003A5404" w:rsidP="003A5404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color w:val="000000"/>
        </w:rPr>
      </w:pPr>
    </w:p>
    <w:p w:rsidR="003A5404" w:rsidRPr="003A5404" w:rsidRDefault="003A5404" w:rsidP="003A5404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color w:val="000000"/>
        </w:rPr>
      </w:pPr>
    </w:p>
    <w:p w:rsidR="003A5404" w:rsidRDefault="003A5404" w:rsidP="003A5404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color w:val="000000"/>
        </w:rPr>
      </w:pPr>
      <w:r>
        <w:rPr>
          <w:rFonts w:ascii="SFRM1095" w:hAnsi="SFRM1095" w:cs="SFRM1095"/>
          <w:color w:val="000000"/>
        </w:rPr>
        <w:t xml:space="preserve">A continuación debemos seleccionar la pestaña </w:t>
      </w:r>
      <w:proofErr w:type="spellStart"/>
      <w:r>
        <w:rPr>
          <w:rFonts w:ascii="SFTT1095" w:hAnsi="SFTT1095" w:cs="SFTT1095"/>
          <w:color w:val="000000"/>
        </w:rPr>
        <w:t>Debugger</w:t>
      </w:r>
      <w:proofErr w:type="spellEnd"/>
      <w:r>
        <w:rPr>
          <w:rFonts w:ascii="SFRM1095" w:hAnsi="SFRM1095" w:cs="SFRM1095"/>
          <w:color w:val="000000"/>
        </w:rPr>
        <w:t>, y rellenarla como indica la Figura</w:t>
      </w:r>
      <w:r>
        <w:rPr>
          <w:rFonts w:ascii="SFRM1095" w:hAnsi="SFRM1095" w:cs="SFRM1095"/>
          <w:color w:val="000000"/>
        </w:rPr>
        <w:t xml:space="preserve"> </w:t>
      </w:r>
      <w:r>
        <w:rPr>
          <w:rFonts w:ascii="SFRM1095" w:hAnsi="SFRM1095" w:cs="SFRM1095"/>
          <w:color w:val="000000"/>
        </w:rPr>
        <w:t xml:space="preserve">5.9. Primero deberemos seleccionar como depurador el </w:t>
      </w:r>
      <w:proofErr w:type="spellStart"/>
      <w:r>
        <w:rPr>
          <w:rFonts w:ascii="SFTT1095" w:hAnsi="SFTT1095" w:cs="SFTT1095"/>
          <w:color w:val="000000"/>
        </w:rPr>
        <w:t>arm-none-eabi-gdb</w:t>
      </w:r>
      <w:proofErr w:type="spellEnd"/>
      <w:r>
        <w:rPr>
          <w:rFonts w:ascii="SFRM1095" w:hAnsi="SFRM1095" w:cs="SFRM1095"/>
          <w:color w:val="000000"/>
        </w:rPr>
        <w:t>. Después,</w:t>
      </w:r>
      <w:r>
        <w:rPr>
          <w:rFonts w:ascii="SFRM1095" w:hAnsi="SFRM1095" w:cs="SFRM1095"/>
          <w:color w:val="000000"/>
        </w:rPr>
        <w:t xml:space="preserve"> </w:t>
      </w:r>
      <w:r>
        <w:rPr>
          <w:rFonts w:ascii="SFRM1095" w:hAnsi="SFRM1095" w:cs="SFRM1095"/>
          <w:color w:val="000000"/>
        </w:rPr>
        <w:t xml:space="preserve">en la parte baja de la ventana, deberemos seleccionar a qué </w:t>
      </w:r>
      <w:proofErr w:type="spellStart"/>
      <w:r>
        <w:rPr>
          <w:rFonts w:ascii="SFTI1095" w:hAnsi="SFTI1095" w:cs="SFTI1095"/>
          <w:i/>
          <w:iCs/>
          <w:color w:val="000000"/>
        </w:rPr>
        <w:t>gdb</w:t>
      </w:r>
      <w:proofErr w:type="spellEnd"/>
      <w:r>
        <w:rPr>
          <w:rFonts w:ascii="SFTI1095" w:hAnsi="SFTI1095" w:cs="SFTI1095"/>
          <w:i/>
          <w:iCs/>
          <w:color w:val="000000"/>
        </w:rPr>
        <w:t xml:space="preserve"> server </w:t>
      </w:r>
      <w:r>
        <w:rPr>
          <w:rFonts w:ascii="SFRM1095" w:hAnsi="SFRM1095" w:cs="SFRM1095"/>
          <w:color w:val="000000"/>
        </w:rPr>
        <w:t>debe conectarse.</w:t>
      </w:r>
    </w:p>
    <w:p w:rsidR="003A5404" w:rsidRDefault="003A5404" w:rsidP="003A5404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color w:val="000000"/>
        </w:rPr>
      </w:pPr>
    </w:p>
    <w:p w:rsidR="003A5404" w:rsidRDefault="003A5404" w:rsidP="003A5404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color w:val="000000"/>
        </w:rPr>
      </w:pPr>
      <w:r>
        <w:rPr>
          <w:rFonts w:ascii="SFRM1095" w:hAnsi="SFRM1095" w:cs="SFRM1095"/>
          <w:color w:val="000000"/>
        </w:rPr>
        <w:t xml:space="preserve">Este servidor lo pone </w:t>
      </w:r>
      <w:proofErr w:type="spellStart"/>
      <w:r>
        <w:rPr>
          <w:rFonts w:ascii="SFRM1095" w:hAnsi="SFRM1095" w:cs="SFRM1095"/>
          <w:color w:val="000000"/>
        </w:rPr>
        <w:t>OpenOCD</w:t>
      </w:r>
      <w:proofErr w:type="spellEnd"/>
      <w:r>
        <w:rPr>
          <w:rFonts w:ascii="SFRM1095" w:hAnsi="SFRM1095" w:cs="SFRM1095"/>
          <w:color w:val="000000"/>
        </w:rPr>
        <w:t>, y está configurado para escuchar en el puerto 3333. Por</w:t>
      </w:r>
      <w:r>
        <w:rPr>
          <w:rFonts w:ascii="SFRM1095" w:hAnsi="SFRM1095" w:cs="SFRM1095"/>
          <w:color w:val="000000"/>
        </w:rPr>
        <w:t xml:space="preserve"> </w:t>
      </w:r>
      <w:r>
        <w:rPr>
          <w:rFonts w:ascii="SFRM1095" w:hAnsi="SFRM1095" w:cs="SFRM1095"/>
          <w:color w:val="000000"/>
        </w:rPr>
        <w:t xml:space="preserve">ello seleccionaremos como JTAG </w:t>
      </w:r>
      <w:proofErr w:type="spellStart"/>
      <w:r>
        <w:rPr>
          <w:rFonts w:ascii="SFRM1095" w:hAnsi="SFRM1095" w:cs="SFRM1095"/>
          <w:color w:val="000000"/>
        </w:rPr>
        <w:t>Device</w:t>
      </w:r>
      <w:proofErr w:type="spellEnd"/>
      <w:r>
        <w:rPr>
          <w:rFonts w:ascii="SFRM1095" w:hAnsi="SFRM1095" w:cs="SFRM1095"/>
          <w:color w:val="000000"/>
        </w:rPr>
        <w:t xml:space="preserve"> </w:t>
      </w:r>
      <w:proofErr w:type="spellStart"/>
      <w:r>
        <w:rPr>
          <w:rFonts w:ascii="SFTT1095" w:hAnsi="SFTT1095" w:cs="SFTT1095"/>
          <w:color w:val="000000"/>
        </w:rPr>
        <w:t>Generic</w:t>
      </w:r>
      <w:proofErr w:type="spellEnd"/>
      <w:r>
        <w:rPr>
          <w:rFonts w:ascii="SFTT1095" w:hAnsi="SFTT1095" w:cs="SFTT1095"/>
          <w:color w:val="000000"/>
        </w:rPr>
        <w:t xml:space="preserve"> TCP/IP</w:t>
      </w:r>
      <w:r>
        <w:rPr>
          <w:rFonts w:ascii="SFRM1095" w:hAnsi="SFRM1095" w:cs="SFRM1095"/>
          <w:color w:val="000000"/>
        </w:rPr>
        <w:t xml:space="preserve">, como dirección IP </w:t>
      </w:r>
      <w:proofErr w:type="spellStart"/>
      <w:r>
        <w:rPr>
          <w:rFonts w:ascii="SFTT1095" w:hAnsi="SFTT1095" w:cs="SFTT1095"/>
          <w:color w:val="000000"/>
        </w:rPr>
        <w:t>localhost</w:t>
      </w:r>
      <w:proofErr w:type="spellEnd"/>
      <w:r>
        <w:rPr>
          <w:rFonts w:ascii="SFTT1095" w:hAnsi="SFTT1095" w:cs="SFTT1095"/>
          <w:color w:val="000000"/>
        </w:rPr>
        <w:t xml:space="preserve"> </w:t>
      </w:r>
      <w:r>
        <w:rPr>
          <w:rFonts w:ascii="SFRM1095" w:hAnsi="SFRM1095" w:cs="SFRM1095"/>
          <w:color w:val="000000"/>
        </w:rPr>
        <w:t>y</w:t>
      </w:r>
      <w:r>
        <w:rPr>
          <w:rFonts w:ascii="SFRM1095" w:hAnsi="SFRM1095" w:cs="SFRM1095"/>
          <w:color w:val="000000"/>
        </w:rPr>
        <w:t xml:space="preserve"> </w:t>
      </w:r>
      <w:r>
        <w:rPr>
          <w:rFonts w:ascii="SFRM1095" w:hAnsi="SFRM1095" w:cs="SFRM1095"/>
          <w:color w:val="000000"/>
        </w:rPr>
        <w:t>como puerto 3333.</w:t>
      </w:r>
    </w:p>
    <w:p w:rsidR="003A5404" w:rsidRDefault="003A5404" w:rsidP="003A5404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color w:val="000000"/>
        </w:rPr>
      </w:pPr>
    </w:p>
    <w:p w:rsidR="003A5404" w:rsidRDefault="003A5404" w:rsidP="003A5404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color w:val="000000"/>
        </w:rPr>
      </w:pPr>
      <w:r>
        <w:rPr>
          <w:rFonts w:ascii="SFRM1095" w:hAnsi="SFRM1095" w:cs="SFRM1095"/>
          <w:color w:val="000000"/>
        </w:rPr>
        <w:t xml:space="preserve">Finalmente deberemos rellenar la pestaña </w:t>
      </w:r>
      <w:proofErr w:type="spellStart"/>
      <w:r>
        <w:rPr>
          <w:rFonts w:ascii="SFTT1095" w:hAnsi="SFTT1095" w:cs="SFTT1095"/>
          <w:color w:val="000000"/>
        </w:rPr>
        <w:t>Startup</w:t>
      </w:r>
      <w:proofErr w:type="spellEnd"/>
      <w:r>
        <w:rPr>
          <w:rFonts w:ascii="SFRM1095" w:hAnsi="SFRM1095" w:cs="SFRM1095"/>
          <w:color w:val="000000"/>
        </w:rPr>
        <w:t>, tal y como se ilustra en la Figura</w:t>
      </w:r>
    </w:p>
    <w:p w:rsidR="003A5404" w:rsidRDefault="003A5404" w:rsidP="003A5404">
      <w:pPr>
        <w:autoSpaceDE w:val="0"/>
        <w:autoSpaceDN w:val="0"/>
        <w:adjustRightInd w:val="0"/>
        <w:spacing w:after="0" w:line="240" w:lineRule="auto"/>
        <w:rPr>
          <w:rFonts w:ascii="SFTT1095" w:hAnsi="SFTT1095" w:cs="SFTT1095"/>
          <w:color w:val="000000"/>
        </w:rPr>
      </w:pPr>
      <w:r>
        <w:rPr>
          <w:rFonts w:ascii="SFRM1095" w:hAnsi="SFRM1095" w:cs="SFRM1095"/>
          <w:color w:val="000000"/>
        </w:rPr>
        <w:t xml:space="preserve">5.10. En la parte superior desmarcamos las casillas de </w:t>
      </w:r>
      <w:proofErr w:type="spellStart"/>
      <w:r>
        <w:rPr>
          <w:rFonts w:ascii="SFTT1095" w:hAnsi="SFTT1095" w:cs="SFTT1095"/>
          <w:color w:val="000000"/>
        </w:rPr>
        <w:t>Reset</w:t>
      </w:r>
      <w:proofErr w:type="spellEnd"/>
      <w:r>
        <w:rPr>
          <w:rFonts w:ascii="SFTT1095" w:hAnsi="SFTT1095" w:cs="SFTT1095"/>
          <w:color w:val="000000"/>
        </w:rPr>
        <w:t xml:space="preserve"> </w:t>
      </w:r>
      <w:r>
        <w:rPr>
          <w:rFonts w:ascii="SFRM1095" w:hAnsi="SFRM1095" w:cs="SFRM1095"/>
          <w:color w:val="000000"/>
        </w:rPr>
        <w:t xml:space="preserve">y </w:t>
      </w:r>
      <w:proofErr w:type="spellStart"/>
      <w:r>
        <w:rPr>
          <w:rFonts w:ascii="SFTT1095" w:hAnsi="SFTT1095" w:cs="SFTT1095"/>
          <w:color w:val="000000"/>
        </w:rPr>
        <w:t>Halt</w:t>
      </w:r>
      <w:proofErr w:type="spellEnd"/>
      <w:r>
        <w:rPr>
          <w:rFonts w:ascii="SFRM1095" w:hAnsi="SFRM1095" w:cs="SFRM1095"/>
          <w:color w:val="000000"/>
        </w:rPr>
        <w:t>, y escribimos en el</w:t>
      </w:r>
      <w:r>
        <w:rPr>
          <w:rFonts w:ascii="SFRM1095" w:hAnsi="SFRM1095" w:cs="SFRM1095"/>
          <w:color w:val="000000"/>
        </w:rPr>
        <w:t xml:space="preserve"> </w:t>
      </w:r>
      <w:r>
        <w:rPr>
          <w:rFonts w:ascii="SFRM1095" w:hAnsi="SFRM1095" w:cs="SFRM1095"/>
          <w:color w:val="000000"/>
        </w:rPr>
        <w:t xml:space="preserve">cuadro </w:t>
      </w:r>
      <w:r>
        <w:rPr>
          <w:rFonts w:ascii="SFTT1095" w:hAnsi="SFTT1095" w:cs="SFTT1095"/>
          <w:color w:val="000000"/>
        </w:rPr>
        <w:t xml:space="preserve">monitor </w:t>
      </w:r>
      <w:proofErr w:type="spellStart"/>
      <w:r>
        <w:rPr>
          <w:rFonts w:ascii="SFTT1095" w:hAnsi="SFTT1095" w:cs="SFTT1095"/>
          <w:color w:val="000000"/>
        </w:rPr>
        <w:t>reset</w:t>
      </w:r>
      <w:proofErr w:type="spellEnd"/>
      <w:r>
        <w:rPr>
          <w:rFonts w:ascii="SFTT1095" w:hAnsi="SFTT1095" w:cs="SFTT1095"/>
          <w:color w:val="000000"/>
        </w:rPr>
        <w:t xml:space="preserve"> </w:t>
      </w:r>
      <w:proofErr w:type="spellStart"/>
      <w:r>
        <w:rPr>
          <w:rFonts w:ascii="SFTT1095" w:hAnsi="SFTT1095" w:cs="SFTT1095"/>
          <w:color w:val="000000"/>
        </w:rPr>
        <w:t>init</w:t>
      </w:r>
      <w:proofErr w:type="spellEnd"/>
      <w:r>
        <w:rPr>
          <w:rFonts w:ascii="SFRM1095" w:hAnsi="SFRM1095" w:cs="SFRM1095"/>
          <w:color w:val="000000"/>
        </w:rPr>
        <w:t xml:space="preserve">. En la parte inferior de la ventana marcamos las casillas </w:t>
      </w:r>
      <w:r>
        <w:rPr>
          <w:rFonts w:ascii="SFTT1095" w:hAnsi="SFTT1095" w:cs="SFTT1095"/>
          <w:color w:val="000000"/>
        </w:rPr>
        <w:t>Set</w:t>
      </w:r>
    </w:p>
    <w:p w:rsidR="003A5404" w:rsidRDefault="003A5404" w:rsidP="003A5404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color w:val="000000"/>
        </w:rPr>
      </w:pPr>
      <w:proofErr w:type="spellStart"/>
      <w:r>
        <w:rPr>
          <w:rFonts w:ascii="SFTT1095" w:hAnsi="SFTT1095" w:cs="SFTT1095"/>
          <w:color w:val="000000"/>
        </w:rPr>
        <w:t>Breakpoint</w:t>
      </w:r>
      <w:proofErr w:type="spellEnd"/>
      <w:r>
        <w:rPr>
          <w:rFonts w:ascii="SFTT1095" w:hAnsi="SFTT1095" w:cs="SFTT1095"/>
          <w:color w:val="000000"/>
        </w:rPr>
        <w:t xml:space="preserve"> at </w:t>
      </w:r>
      <w:r>
        <w:rPr>
          <w:rFonts w:ascii="SFRM1095" w:hAnsi="SFRM1095" w:cs="SFRM1095"/>
          <w:color w:val="000000"/>
        </w:rPr>
        <w:t xml:space="preserve">y </w:t>
      </w:r>
      <w:r>
        <w:rPr>
          <w:rFonts w:ascii="SFTT1095" w:hAnsi="SFTT1095" w:cs="SFTT1095"/>
          <w:color w:val="000000"/>
        </w:rPr>
        <w:t>resume</w:t>
      </w:r>
      <w:r>
        <w:rPr>
          <w:rFonts w:ascii="SFRM1095" w:hAnsi="SFRM1095" w:cs="SFRM1095"/>
          <w:color w:val="000000"/>
        </w:rPr>
        <w:t xml:space="preserve">, y ponemos </w:t>
      </w:r>
      <w:r>
        <w:rPr>
          <w:rFonts w:ascii="SFTT1095" w:hAnsi="SFTT1095" w:cs="SFTT1095"/>
          <w:color w:val="000000"/>
        </w:rPr>
        <w:t>*</w:t>
      </w:r>
      <w:proofErr w:type="spellStart"/>
      <w:r>
        <w:rPr>
          <w:rFonts w:ascii="SFTT1095" w:hAnsi="SFTT1095" w:cs="SFTT1095"/>
          <w:color w:val="000000"/>
        </w:rPr>
        <w:t>start</w:t>
      </w:r>
      <w:proofErr w:type="spellEnd"/>
      <w:r>
        <w:rPr>
          <w:rFonts w:ascii="SFTT1095" w:hAnsi="SFTT1095" w:cs="SFTT1095"/>
          <w:color w:val="000000"/>
        </w:rPr>
        <w:t xml:space="preserve"> </w:t>
      </w:r>
      <w:r>
        <w:rPr>
          <w:rFonts w:ascii="SFRM1095" w:hAnsi="SFRM1095" w:cs="SFRM1095"/>
          <w:color w:val="000000"/>
        </w:rPr>
        <w:t xml:space="preserve">en la casilla para la dirección del </w:t>
      </w:r>
      <w:proofErr w:type="spellStart"/>
      <w:r>
        <w:rPr>
          <w:rFonts w:ascii="SFRM1095" w:hAnsi="SFRM1095" w:cs="SFRM1095"/>
          <w:color w:val="000000"/>
        </w:rPr>
        <w:t>breakpoint</w:t>
      </w:r>
      <w:proofErr w:type="spellEnd"/>
      <w:r>
        <w:rPr>
          <w:rFonts w:ascii="SFRM1095" w:hAnsi="SFRM1095" w:cs="SFRM1095"/>
          <w:color w:val="000000"/>
        </w:rPr>
        <w:t>.</w:t>
      </w:r>
    </w:p>
    <w:p w:rsidR="00662EB8" w:rsidRDefault="003A5404" w:rsidP="003A5404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color w:val="000000"/>
        </w:rPr>
      </w:pPr>
      <w:r>
        <w:rPr>
          <w:rFonts w:ascii="SFRM1095" w:hAnsi="SFRM1095" w:cs="SFRM1095"/>
          <w:color w:val="000000"/>
        </w:rPr>
        <w:t xml:space="preserve">Pinchamos en </w:t>
      </w:r>
      <w:proofErr w:type="spellStart"/>
      <w:r>
        <w:rPr>
          <w:rFonts w:ascii="SFTT1095" w:hAnsi="SFTT1095" w:cs="SFTT1095"/>
          <w:color w:val="000000"/>
        </w:rPr>
        <w:t>Apply</w:t>
      </w:r>
      <w:proofErr w:type="spellEnd"/>
      <w:r>
        <w:rPr>
          <w:rFonts w:ascii="SFTT1095" w:hAnsi="SFTT1095" w:cs="SFTT1095"/>
          <w:color w:val="000000"/>
        </w:rPr>
        <w:t xml:space="preserve"> </w:t>
      </w:r>
      <w:r>
        <w:rPr>
          <w:rFonts w:ascii="SFRM1095" w:hAnsi="SFRM1095" w:cs="SFRM1095"/>
          <w:color w:val="000000"/>
        </w:rPr>
        <w:t xml:space="preserve">y luego en </w:t>
      </w:r>
      <w:proofErr w:type="spellStart"/>
      <w:r>
        <w:rPr>
          <w:rFonts w:ascii="SFTT1095" w:hAnsi="SFTT1095" w:cs="SFTT1095"/>
          <w:color w:val="000000"/>
        </w:rPr>
        <w:t>Close</w:t>
      </w:r>
      <w:proofErr w:type="spellEnd"/>
      <w:r>
        <w:rPr>
          <w:rFonts w:ascii="SFRM1095" w:hAnsi="SFRM1095" w:cs="SFRM1095"/>
          <w:color w:val="000000"/>
        </w:rPr>
        <w:t>. La configuración de depuración queda entonces</w:t>
      </w:r>
      <w:r>
        <w:rPr>
          <w:rFonts w:ascii="SFRM1095" w:hAnsi="SFRM1095" w:cs="SFRM1095"/>
          <w:color w:val="000000"/>
        </w:rPr>
        <w:t xml:space="preserve"> </w:t>
      </w:r>
      <w:r>
        <w:rPr>
          <w:rFonts w:ascii="SFRM1095" w:hAnsi="SFRM1095" w:cs="SFRM1095"/>
          <w:color w:val="000000"/>
        </w:rPr>
        <w:t>lista para ser utilizada cuando queramos depurar.</w:t>
      </w:r>
    </w:p>
    <w:p w:rsidR="003A5404" w:rsidRDefault="003A5404" w:rsidP="003A5404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color w:val="000000"/>
        </w:rPr>
      </w:pPr>
    </w:p>
    <w:p w:rsidR="003A5404" w:rsidRDefault="003A5404" w:rsidP="003A5404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color w:val="000000"/>
        </w:rPr>
      </w:pPr>
    </w:p>
    <w:p w:rsidR="003A5404" w:rsidRDefault="003A5404" w:rsidP="003A5404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358422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84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404" w:rsidRDefault="003A5404" w:rsidP="003A5404">
      <w:pPr>
        <w:autoSpaceDE w:val="0"/>
        <w:autoSpaceDN w:val="0"/>
        <w:adjustRightInd w:val="0"/>
        <w:spacing w:after="0" w:line="240" w:lineRule="auto"/>
        <w:jc w:val="center"/>
        <w:rPr>
          <w:rFonts w:ascii="SFRM1095" w:hAnsi="SFRM1095" w:cs="SFRM1095"/>
        </w:rPr>
      </w:pPr>
      <w:r>
        <w:rPr>
          <w:rFonts w:ascii="SFRM1000" w:hAnsi="SFRM1000" w:cs="SFRM1000"/>
          <w:sz w:val="20"/>
          <w:szCs w:val="20"/>
        </w:rPr>
        <w:t xml:space="preserve">Figura </w:t>
      </w:r>
      <w:r>
        <w:rPr>
          <w:rFonts w:ascii="SFRM1095" w:hAnsi="SFRM1095" w:cs="SFRM1095"/>
        </w:rPr>
        <w:t xml:space="preserve">5.6: Ventana de configuración de </w:t>
      </w:r>
      <w:proofErr w:type="spellStart"/>
      <w:r>
        <w:rPr>
          <w:rFonts w:ascii="SFRM1095" w:hAnsi="SFRM1095" w:cs="SFRM1095"/>
        </w:rPr>
        <w:t>OpenOCD</w:t>
      </w:r>
      <w:proofErr w:type="spellEnd"/>
      <w:r>
        <w:rPr>
          <w:rFonts w:ascii="SFRM1095" w:hAnsi="SFRM1095" w:cs="SFRM1095"/>
        </w:rPr>
        <w:t xml:space="preserve"> como herramienta externa.</w:t>
      </w:r>
    </w:p>
    <w:p w:rsidR="003A5404" w:rsidRDefault="003A5404" w:rsidP="003A5404">
      <w:pPr>
        <w:autoSpaceDE w:val="0"/>
        <w:autoSpaceDN w:val="0"/>
        <w:adjustRightInd w:val="0"/>
        <w:spacing w:after="0" w:line="240" w:lineRule="auto"/>
      </w:pPr>
    </w:p>
    <w:p w:rsidR="003A5404" w:rsidRDefault="003A5404" w:rsidP="003A5404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s-ES"/>
        </w:rPr>
        <w:drawing>
          <wp:inline distT="0" distB="0" distL="0" distR="0">
            <wp:extent cx="5400040" cy="358422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84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404" w:rsidRDefault="003A5404" w:rsidP="003A5404">
      <w:pPr>
        <w:autoSpaceDE w:val="0"/>
        <w:autoSpaceDN w:val="0"/>
        <w:adjustRightInd w:val="0"/>
        <w:spacing w:after="0" w:line="240" w:lineRule="auto"/>
        <w:jc w:val="center"/>
        <w:rPr>
          <w:rFonts w:ascii="SFRM1095" w:hAnsi="SFRM1095" w:cs="SFRM1095"/>
        </w:rPr>
      </w:pPr>
      <w:r>
        <w:rPr>
          <w:rFonts w:ascii="SFRM1000" w:hAnsi="SFRM1000" w:cs="SFRM1000"/>
          <w:sz w:val="20"/>
          <w:szCs w:val="20"/>
        </w:rPr>
        <w:t xml:space="preserve">Figura </w:t>
      </w:r>
      <w:r>
        <w:rPr>
          <w:rFonts w:ascii="SFRM1095" w:hAnsi="SFRM1095" w:cs="SFRM1095"/>
        </w:rPr>
        <w:t xml:space="preserve">5.7: Configuración de depuración para conexión a placa: pestaña </w:t>
      </w:r>
      <w:proofErr w:type="spellStart"/>
      <w:r>
        <w:rPr>
          <w:rFonts w:ascii="SFRM1095" w:hAnsi="SFRM1095" w:cs="SFRM1095"/>
        </w:rPr>
        <w:t>Main</w:t>
      </w:r>
      <w:proofErr w:type="spellEnd"/>
      <w:r>
        <w:rPr>
          <w:rFonts w:ascii="SFRM1095" w:hAnsi="SFRM1095" w:cs="SFRM1095"/>
        </w:rPr>
        <w:t>.</w:t>
      </w:r>
    </w:p>
    <w:p w:rsidR="003A5404" w:rsidRDefault="003A5404" w:rsidP="003A5404">
      <w:pPr>
        <w:autoSpaceDE w:val="0"/>
        <w:autoSpaceDN w:val="0"/>
        <w:adjustRightInd w:val="0"/>
        <w:spacing w:after="0" w:line="240" w:lineRule="auto"/>
        <w:jc w:val="center"/>
        <w:rPr>
          <w:rFonts w:ascii="SFRM1095" w:hAnsi="SFRM1095" w:cs="SFRM1095"/>
        </w:rPr>
      </w:pPr>
    </w:p>
    <w:p w:rsidR="003A5404" w:rsidRDefault="003A5404" w:rsidP="003A5404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s-ES"/>
        </w:rPr>
        <w:lastRenderedPageBreak/>
        <w:drawing>
          <wp:inline distT="0" distB="0" distL="0" distR="0">
            <wp:extent cx="3955415" cy="3955415"/>
            <wp:effectExtent l="0" t="0" r="6985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415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404" w:rsidRDefault="003A5404" w:rsidP="003A5404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00" w:hAnsi="SFRM1000" w:cs="SFRM1000"/>
          <w:sz w:val="20"/>
          <w:szCs w:val="20"/>
        </w:rPr>
        <w:t xml:space="preserve">Figura </w:t>
      </w:r>
      <w:r>
        <w:rPr>
          <w:rFonts w:ascii="SFRM1095" w:hAnsi="SFRM1095" w:cs="SFRM1095"/>
        </w:rPr>
        <w:t xml:space="preserve">5.8: Configuración de depuración para conexión a placa: selección de </w:t>
      </w:r>
      <w:r>
        <w:rPr>
          <w:rFonts w:ascii="SFTI1095" w:hAnsi="SFTI1095" w:cs="SFTI1095"/>
          <w:i/>
          <w:iCs/>
        </w:rPr>
        <w:t>Standard GDB</w:t>
      </w:r>
      <w:r>
        <w:rPr>
          <w:rFonts w:ascii="SFTI1095" w:hAnsi="SFTI1095" w:cs="SFTI1095"/>
          <w:i/>
          <w:iCs/>
        </w:rPr>
        <w:t xml:space="preserve"> </w:t>
      </w:r>
      <w:r>
        <w:rPr>
          <w:rFonts w:ascii="SFTI1095" w:hAnsi="SFTI1095" w:cs="SFTI1095"/>
          <w:i/>
          <w:iCs/>
        </w:rPr>
        <w:t xml:space="preserve">Hardware </w:t>
      </w:r>
      <w:proofErr w:type="spellStart"/>
      <w:r>
        <w:rPr>
          <w:rFonts w:ascii="SFTI1095" w:hAnsi="SFTI1095" w:cs="SFTI1095"/>
          <w:i/>
          <w:iCs/>
        </w:rPr>
        <w:t>Debbuging</w:t>
      </w:r>
      <w:proofErr w:type="spellEnd"/>
      <w:r>
        <w:rPr>
          <w:rFonts w:ascii="SFTI1095" w:hAnsi="SFTI1095" w:cs="SFTI1095"/>
          <w:i/>
          <w:iCs/>
        </w:rPr>
        <w:t xml:space="preserve"> </w:t>
      </w:r>
      <w:proofErr w:type="spellStart"/>
      <w:r>
        <w:rPr>
          <w:rFonts w:ascii="SFTI1095" w:hAnsi="SFTI1095" w:cs="SFTI1095"/>
          <w:i/>
          <w:iCs/>
        </w:rPr>
        <w:t>Launcher</w:t>
      </w:r>
      <w:proofErr w:type="spellEnd"/>
      <w:r>
        <w:rPr>
          <w:rFonts w:ascii="SFRM1095" w:hAnsi="SFRM1095" w:cs="SFRM1095"/>
        </w:rPr>
        <w:t>.</w:t>
      </w:r>
    </w:p>
    <w:p w:rsidR="003A5404" w:rsidRDefault="003A5404" w:rsidP="003A5404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</w:p>
    <w:p w:rsidR="003A5404" w:rsidRDefault="003A5404" w:rsidP="003A5404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s-ES"/>
        </w:rPr>
        <w:drawing>
          <wp:inline distT="0" distB="0" distL="0" distR="0">
            <wp:extent cx="5400040" cy="358422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84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404" w:rsidRDefault="003A5404" w:rsidP="003A5404">
      <w:pPr>
        <w:autoSpaceDE w:val="0"/>
        <w:autoSpaceDN w:val="0"/>
        <w:adjustRightInd w:val="0"/>
        <w:spacing w:after="0" w:line="240" w:lineRule="auto"/>
        <w:jc w:val="center"/>
        <w:rPr>
          <w:rFonts w:ascii="SFRM1095" w:hAnsi="SFRM1095" w:cs="SFRM1095"/>
        </w:rPr>
      </w:pPr>
      <w:r>
        <w:rPr>
          <w:rFonts w:ascii="SFRM1000" w:hAnsi="SFRM1000" w:cs="SFRM1000"/>
          <w:sz w:val="20"/>
          <w:szCs w:val="20"/>
        </w:rPr>
        <w:t xml:space="preserve">Figura </w:t>
      </w:r>
      <w:r>
        <w:rPr>
          <w:rFonts w:ascii="SFRM1095" w:hAnsi="SFRM1095" w:cs="SFRM1095"/>
        </w:rPr>
        <w:t xml:space="preserve">5.9: Configuración de depuración para conexión a placa: pestaña </w:t>
      </w:r>
      <w:proofErr w:type="spellStart"/>
      <w:r>
        <w:rPr>
          <w:rFonts w:ascii="SFRM1095" w:hAnsi="SFRM1095" w:cs="SFRM1095"/>
        </w:rPr>
        <w:t>Debugger</w:t>
      </w:r>
      <w:proofErr w:type="spellEnd"/>
      <w:r>
        <w:rPr>
          <w:rFonts w:ascii="SFRM1095" w:hAnsi="SFRM1095" w:cs="SFRM1095"/>
        </w:rPr>
        <w:t>.</w:t>
      </w:r>
    </w:p>
    <w:p w:rsidR="003A5404" w:rsidRDefault="003A5404" w:rsidP="003A5404">
      <w:pPr>
        <w:autoSpaceDE w:val="0"/>
        <w:autoSpaceDN w:val="0"/>
        <w:adjustRightInd w:val="0"/>
        <w:spacing w:after="0" w:line="240" w:lineRule="auto"/>
        <w:jc w:val="center"/>
        <w:rPr>
          <w:rFonts w:ascii="SFRM1095" w:hAnsi="SFRM1095" w:cs="SFRM1095"/>
        </w:rPr>
      </w:pPr>
    </w:p>
    <w:p w:rsidR="003A5404" w:rsidRDefault="003A5404" w:rsidP="003A5404">
      <w:pPr>
        <w:autoSpaceDE w:val="0"/>
        <w:autoSpaceDN w:val="0"/>
        <w:adjustRightInd w:val="0"/>
        <w:spacing w:after="0" w:line="240" w:lineRule="auto"/>
        <w:jc w:val="center"/>
        <w:rPr>
          <w:rFonts w:ascii="SFRM1095" w:hAnsi="SFRM1095" w:cs="SFRM1095"/>
        </w:rPr>
      </w:pPr>
    </w:p>
    <w:p w:rsidR="003A5404" w:rsidRDefault="003A5404" w:rsidP="003A5404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3883259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8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404" w:rsidRDefault="003A5404" w:rsidP="003A5404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  <w:lang w:eastAsia="es-ES"/>
        </w:rPr>
        <w:drawing>
          <wp:inline distT="0" distB="0" distL="0" distR="0">
            <wp:extent cx="5400040" cy="355276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52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5404" w:rsidRPr="003A5404" w:rsidRDefault="003A5404" w:rsidP="003A5404">
      <w:pPr>
        <w:autoSpaceDE w:val="0"/>
        <w:autoSpaceDN w:val="0"/>
        <w:adjustRightInd w:val="0"/>
        <w:spacing w:after="0" w:line="240" w:lineRule="auto"/>
        <w:jc w:val="center"/>
      </w:pPr>
      <w:r>
        <w:rPr>
          <w:rFonts w:ascii="SFRM1000" w:hAnsi="SFRM1000" w:cs="SFRM1000"/>
          <w:sz w:val="20"/>
          <w:szCs w:val="20"/>
        </w:rPr>
        <w:t xml:space="preserve">Figura </w:t>
      </w:r>
      <w:r>
        <w:rPr>
          <w:rFonts w:ascii="SFRM1095" w:hAnsi="SFRM1095" w:cs="SFRM1095"/>
        </w:rPr>
        <w:t xml:space="preserve">5.10: Configuración de depuración para conexión a placa: pestaña </w:t>
      </w:r>
      <w:proofErr w:type="spellStart"/>
      <w:r>
        <w:rPr>
          <w:rFonts w:ascii="SFRM1095" w:hAnsi="SFRM1095" w:cs="SFRM1095"/>
        </w:rPr>
        <w:t>Startup</w:t>
      </w:r>
      <w:proofErr w:type="spellEnd"/>
      <w:r>
        <w:rPr>
          <w:rFonts w:ascii="SFRM1095" w:hAnsi="SFRM1095" w:cs="SFRM1095"/>
        </w:rPr>
        <w:t>.</w:t>
      </w:r>
    </w:p>
    <w:sectPr w:rsidR="003A5404" w:rsidRPr="003A54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FBX144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09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TT109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FTI109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404"/>
    <w:rsid w:val="003A5404"/>
    <w:rsid w:val="0066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A5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54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A5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54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580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Villarreal Rodríguez</dc:creator>
  <cp:lastModifiedBy>Javier Villarreal Rodríguez</cp:lastModifiedBy>
  <cp:revision>1</cp:revision>
  <dcterms:created xsi:type="dcterms:W3CDTF">2014-03-23T20:32:00Z</dcterms:created>
  <dcterms:modified xsi:type="dcterms:W3CDTF">2014-03-23T20:40:00Z</dcterms:modified>
</cp:coreProperties>
</file>