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sz w:val="22"/>
          <w:szCs w:val="22"/>
        </w:rPr>
      </w:r>
    </w:p>
    <w:p>
      <w:pPr>
        <w:pStyle w:val="Normal"/>
        <w:jc w:val="center"/>
        <w:rPr>
          <w:b/>
          <w:b/>
          <w:bCs/>
        </w:rPr>
      </w:pPr>
      <w:r>
        <w:rPr>
          <w:b/>
          <w:bCs/>
          <w:sz w:val="28"/>
          <w:szCs w:val="28"/>
          <w:lang w:val="es-ES"/>
        </w:rPr>
        <w:t xml:space="preserve">Temas </w:t>
      </w:r>
      <w:r>
        <w:rPr>
          <w:b/>
          <w:bCs/>
          <w:sz w:val="28"/>
          <w:szCs w:val="28"/>
          <w:lang w:val="es-ES"/>
        </w:rPr>
        <w:t xml:space="preserve">pendientes </w:t>
      </w:r>
      <w:r>
        <w:rPr>
          <w:b/>
          <w:bCs/>
          <w:sz w:val="28"/>
          <w:szCs w:val="28"/>
          <w:lang w:val="es-ES"/>
        </w:rPr>
        <w:t>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propuestos para el programa ya han sido implementados, sin embargo, se requieren nuevos modos de ejecución y combinaciones de ellos.  A continuación una lista de los modos propuestos:</w:t>
      </w:r>
    </w:p>
    <w:tbl>
      <w:tblPr>
        <w:tblStyle w:val="Tablaconcuadrcula"/>
        <w:tblW w:w="883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763"/>
        <w:gridCol w:w="7237"/>
        <w:gridCol w:w="833"/>
      </w:tblGrid>
      <w:tr>
        <w:trPr/>
        <w:tc>
          <w:tcPr>
            <w:tcW w:w="763" w:type="dxa"/>
            <w:tcBorders/>
          </w:tcPr>
          <w:p>
            <w:pPr>
              <w:pStyle w:val="Normal"/>
              <w:widowControl/>
              <w:spacing w:lineRule="auto" w:line="240" w:before="0" w:after="0"/>
              <w:jc w:val="center"/>
              <w:rPr>
                <w:b/>
                <w:b/>
                <w:bCs/>
                <w:lang w:val="es-ES"/>
              </w:rPr>
            </w:pPr>
            <w:r>
              <w:rPr>
                <w:rFonts w:eastAsia="Calibri" w:cs=""/>
                <w:b/>
                <w:bCs/>
                <w:kern w:val="0"/>
                <w:sz w:val="22"/>
                <w:szCs w:val="22"/>
                <w:lang w:val="es-ES" w:eastAsia="en-US" w:bidi="ar-SA"/>
              </w:rPr>
              <w:t>Modo</w:t>
            </w:r>
          </w:p>
        </w:tc>
        <w:tc>
          <w:tcPr>
            <w:tcW w:w="7237" w:type="dxa"/>
            <w:tcBorders/>
          </w:tcPr>
          <w:p>
            <w:pPr>
              <w:pStyle w:val="Normal"/>
              <w:widowControl/>
              <w:spacing w:lineRule="auto" w:line="240" w:before="0" w:after="0"/>
              <w:jc w:val="center"/>
              <w:rPr>
                <w:b/>
                <w:b/>
                <w:bCs/>
                <w:lang w:val="es-ES"/>
              </w:rPr>
            </w:pPr>
            <w:r>
              <w:rPr>
                <w:rFonts w:eastAsia="Calibri" w:cs=""/>
                <w:b/>
                <w:bCs/>
                <w:kern w:val="0"/>
                <w:sz w:val="22"/>
                <w:szCs w:val="22"/>
                <w:lang w:val="es-ES" w:eastAsia="en-US" w:bidi="ar-SA"/>
              </w:rPr>
              <w:t>Uso</w:t>
            </w:r>
          </w:p>
        </w:tc>
        <w:tc>
          <w:tcPr>
            <w:tcW w:w="833" w:type="dxa"/>
            <w:tcBorders/>
          </w:tcPr>
          <w:p>
            <w:pPr>
              <w:pStyle w:val="Normal"/>
              <w:widowControl/>
              <w:spacing w:lineRule="auto" w:line="240" w:before="0" w:after="0"/>
              <w:jc w:val="center"/>
              <w:rPr>
                <w:b/>
                <w:b/>
                <w:bCs/>
                <w:lang w:val="es-ES"/>
              </w:rPr>
            </w:pPr>
            <w:r>
              <w:rPr>
                <w:rFonts w:eastAsia="Calibri" w:cs=""/>
                <w:b/>
                <w:bCs/>
                <w:kern w:val="0"/>
                <w:sz w:val="22"/>
                <w:szCs w:val="22"/>
                <w:lang w:val="es-ES" w:eastAsia="en-US" w:bidi="ar-SA"/>
              </w:rPr>
              <w:t>Estado</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-v</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Detallado: imprime todos los datos de iteraciones, matrices y resultados</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-q</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Silencioso: solo muestra vectores de Q, H y P</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-n</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Normal: imprime tabla de datos y resultados de nudos y tramos</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-i</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 xml:space="preserve">Interactivo: permite pasar los datos de la red por </w:t>
            </w:r>
            <w:r>
              <w:rPr>
                <w:rFonts w:eastAsia="Calibri" w:cs=""/>
                <w:i/>
                <w:iCs/>
                <w:kern w:val="0"/>
                <w:sz w:val="22"/>
                <w:szCs w:val="22"/>
                <w:lang w:val="es-ES" w:eastAsia="en-US" w:bidi="ar-SA"/>
              </w:rPr>
              <w:t>terminal input</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-r</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Reposición: Reponerse de presiones negativas en nudos</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WIP</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-j</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 xml:space="preserve">JSON: salida de datos en forma de archivo  </w:t>
            </w:r>
            <w:r>
              <w:rPr>
                <w:rFonts w:eastAsia="Calibri" w:cs="Courier New" w:ascii="Courier New" w:hAnsi="Courier New"/>
                <w:kern w:val="0"/>
                <w:sz w:val="22"/>
                <w:szCs w:val="22"/>
                <w:lang w:val="es-ES" w:eastAsia="en-US" w:bidi="ar-SA"/>
              </w:rPr>
              <w:t xml:space="preserve">json.  </w:t>
            </w:r>
            <w:r>
              <w:rPr>
                <w:rFonts w:eastAsia="Calibri" w:cs="Calibri" w:cstheme="minorHAnsi"/>
                <w:kern w:val="0"/>
                <w:sz w:val="22"/>
                <w:szCs w:val="22"/>
                <w:lang w:val="es-ES" w:eastAsia="en-US" w:bidi="ar-SA"/>
              </w:rPr>
              <w:t>Función de API</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-x</w:t>
            </w:r>
          </w:p>
        </w:tc>
        <w:tc>
          <w:tcPr>
            <w:tcW w:w="7237" w:type="dxa"/>
            <w:tcBorders/>
          </w:tcPr>
          <w:p>
            <w:pPr>
              <w:pStyle w:val="Normal"/>
              <w:widowControl/>
              <w:spacing w:lineRule="auto" w:line="240" w:before="0" w:after="0"/>
              <w:jc w:val="both"/>
              <w:rPr>
                <w:lang w:val="es-ES"/>
              </w:rPr>
            </w:pPr>
            <w:r>
              <w:rPr>
                <w:rFonts w:eastAsia="Calibri" w:cs=""/>
                <w:kern w:val="0"/>
                <w:sz w:val="22"/>
                <w:szCs w:val="22"/>
                <w:lang w:val="es-ES" w:eastAsia="en-US" w:bidi="ar-SA"/>
              </w:rPr>
              <w:t>Extendido: ejecución en tiempo extendido, en tractos de 1 hora</w:t>
            </w:r>
          </w:p>
        </w:tc>
        <w:tc>
          <w:tcPr>
            <w:tcW w:w="833" w:type="dxa"/>
            <w:tcBorders/>
          </w:tcPr>
          <w:p>
            <w:pPr>
              <w:pStyle w:val="Normal"/>
              <w:widowControl/>
              <w:spacing w:lineRule="auto" w:line="240" w:before="0" w:after="0"/>
              <w:jc w:val="center"/>
              <w:rPr>
                <w:lang w:val="es-ES"/>
              </w:rPr>
            </w:pPr>
            <w:r>
              <w:rPr>
                <w:rFonts w:eastAsia="Calibri" w:cs=""/>
                <w:kern w:val="0"/>
                <w:sz w:val="22"/>
                <w:szCs w:val="22"/>
                <w:lang w:val="es-ES" w:eastAsia="en-US" w:bidi="ar-SA"/>
              </w:rPr>
              <w:t>Espera</w:t>
            </w:r>
          </w:p>
        </w:tc>
      </w:tr>
    </w:tbl>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Normal"/>
        <w:jc w:val="both"/>
        <w:rPr>
          <w:lang w:val="es-ES"/>
        </w:rPr>
      </w:pPr>
      <w:r>
        <w:rPr>
          <w:lang w:val="es-ES"/>
        </w:rPr>
        <w:t>Es conveniente separar ambos componentes en 2 archivos independientes.</w:t>
      </w:r>
    </w:p>
    <w:p>
      <w:pPr>
        <w:pStyle w:val="Normal"/>
        <w:jc w:val="both"/>
        <w:rPr>
          <w:lang w:val="es-ES"/>
        </w:rPr>
      </w:pPr>
      <w:r>
        <w:rPr>
          <w:lang w:val="es-ES"/>
        </w:rPr>
        <w:t>Uno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3118"/>
        <w:gridCol w:w="5289"/>
      </w:tblGrid>
      <w:tr>
        <w:trPr/>
        <w:tc>
          <w:tcPr>
            <w:tcW w:w="3118" w:type="dxa"/>
            <w:tcBorders/>
          </w:tcPr>
          <w:p>
            <w:pPr>
              <w:pStyle w:val="Normal"/>
              <w:widowControl/>
              <w:spacing w:lineRule="auto" w:line="240" w:before="0" w:after="0"/>
              <w:jc w:val="left"/>
              <w:rPr>
                <w:b/>
                <w:b/>
                <w:bCs/>
                <w:lang w:val="es-ES"/>
              </w:rPr>
            </w:pPr>
            <w:r>
              <w:rPr>
                <w:rFonts w:eastAsia="Calibri" w:cs=""/>
                <w:b/>
                <w:bCs/>
                <w:kern w:val="0"/>
                <w:sz w:val="22"/>
                <w:szCs w:val="22"/>
                <w:lang w:val="es-ES" w:eastAsia="en-US" w:bidi="ar-SA"/>
              </w:rPr>
              <w:t>Tipo de elemento</w:t>
            </w:r>
          </w:p>
        </w:tc>
        <w:tc>
          <w:tcPr>
            <w:tcW w:w="5289" w:type="dxa"/>
            <w:tcBorders/>
          </w:tcPr>
          <w:p>
            <w:pPr>
              <w:pStyle w:val="Normal"/>
              <w:widowControl/>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Nudos de carga fija</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[carga, fecha, hora]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Nudos de demanda</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Nudos tipo naciente</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Nudos tipo emisor</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Tramos simples</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[estado, fecha, hora]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Tramos tipo válvula</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[consigna, fecha, hora]</w:t>
            </w:r>
          </w:p>
        </w:tc>
      </w:tr>
      <w:tr>
        <w:trPr/>
        <w:tc>
          <w:tcPr>
            <w:tcW w:w="3118" w:type="dxa"/>
            <w:tcBorders/>
          </w:tcPr>
          <w:p>
            <w:pPr>
              <w:pStyle w:val="Normal"/>
              <w:widowControl/>
              <w:spacing w:lineRule="auto" w:line="240" w:before="0" w:after="0"/>
              <w:jc w:val="left"/>
              <w:rPr>
                <w:lang w:val="es-ES"/>
              </w:rPr>
            </w:pPr>
            <w:r>
              <w:rPr>
                <w:rFonts w:eastAsia="Calibri" w:cs=""/>
                <w:kern w:val="0"/>
                <w:sz w:val="22"/>
                <w:szCs w:val="22"/>
                <w:lang w:val="es-ES" w:eastAsia="en-US" w:bidi="ar-SA"/>
              </w:rPr>
              <w:t>Tramos tipo bomba o booster</w:t>
            </w:r>
          </w:p>
        </w:tc>
        <w:tc>
          <w:tcPr>
            <w:tcW w:w="5289" w:type="dxa"/>
            <w:tcBorders/>
          </w:tcPr>
          <w:p>
            <w:pPr>
              <w:pStyle w:val="Normal"/>
              <w:widowControl/>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 xml:space="preserve">El otro archivo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ya el [estado] se debe cambiar por [tipo] y en caso de requerir que la tubería esté abierta o cerrada se debe indicar en las opciones, tal y como se propone .</w:t>
      </w:r>
    </w:p>
    <w:p>
      <w:pPr>
        <w:pStyle w:val="Normal"/>
        <w:rPr>
          <w:b/>
          <w:b/>
          <w:bCs/>
          <w:u w:val="single"/>
          <w:lang w:val="es-ES"/>
        </w:rPr>
      </w:pPr>
      <w:r>
        <w:rPr>
          <w:b/>
          <w:bCs/>
          <w:u w:val="single"/>
          <w:lang w:val="es-ES"/>
        </w:rPr>
        <w:t>Siendo congruentes con la separación de archivos de entrada en topología y parámetros</w:t>
      </w:r>
    </w:p>
    <w:p>
      <w:pPr>
        <w:pStyle w:val="Normal"/>
        <w:rPr>
          <w:b/>
          <w:b/>
          <w:bCs/>
          <w:u w:val="single"/>
          <w:lang w:val="es-ES"/>
        </w:rPr>
      </w:pPr>
      <w:r>
        <w:rPr>
          <w:b/>
          <w:bCs/>
          <w:u w:val="single"/>
          <w:lang w:val="es-ES"/>
        </w:rPr>
        <w:t>Tubería en canal abierto</w:t>
      </w:r>
    </w:p>
    <w:p>
      <w:pPr>
        <w:pStyle w:val="Normal"/>
        <w:rPr>
          <w:lang w:val="es-ES"/>
        </w:rPr>
      </w:pPr>
      <w:r>
        <w:rPr>
          <w:lang w:val="es-ES"/>
        </w:rPr>
        <w:t>A</w:t>
      </w:r>
    </w:p>
    <w:p>
      <w:pPr>
        <w:pStyle w:val="Normal"/>
        <w:rPr>
          <w:b/>
          <w:b/>
          <w:bCs/>
          <w:u w:val="single"/>
          <w:lang w:val="es-ES"/>
        </w:rPr>
      </w:pPr>
      <w:r>
        <w:rPr>
          <w:b/>
          <w:bCs/>
          <w:u w:val="single"/>
          <w:lang w:val="es-ES"/>
        </w:rPr>
        <w:t xml:space="preserve">Vaciado de tanques </w:t>
      </w:r>
    </w:p>
    <w:p>
      <w:pPr>
        <w:pStyle w:val="Normal"/>
        <w:rPr>
          <w:lang w:val="es-ES"/>
        </w:rPr>
      </w:pPr>
      <w:r>
        <w:rPr>
          <w:lang w:val="es-ES"/>
        </w:rPr>
        <w:t>El nivel de tanque puede ser negativo, e ir más abajo del nivel de piso, descendiendo por la tubería a medida que se va vaciando la red, con el fin de simular el hecho de que la tubería se vacía</w:t>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rPr>
          <w:b/>
          <w:b/>
          <w:bCs/>
          <w:lang w:val="es-ES"/>
        </w:rPr>
      </w:pPr>
      <w:r>
        <w:rPr>
          <w:b/>
          <w:bCs/>
          <w:lang w:val="es-ES"/>
        </w:rPr>
      </w:r>
    </w:p>
    <w:p>
      <w:pPr>
        <w:pStyle w:val="Normal"/>
        <w:rPr>
          <w:b/>
          <w:b/>
          <w:bCs/>
          <w:u w:val="single"/>
          <w:lang w:val="es-ES"/>
        </w:rPr>
      </w:pPr>
      <w:r>
        <w:rPr>
          <w:b/>
          <w:bCs/>
          <w:u w:val="single"/>
          <w:lang w:val="es-ES"/>
        </w:rPr>
        <w:t>Curvas de demanda</w:t>
      </w:r>
    </w:p>
    <w:p>
      <w:pPr>
        <w:pStyle w:val="Normal"/>
        <w:rPr>
          <w:lang w:val="es-ES"/>
        </w:rPr>
      </w:pPr>
      <w:r>
        <w:rPr>
          <w:lang w:val="es-ES"/>
        </w:rPr>
      </w:r>
    </w:p>
    <w:p>
      <w:pPr>
        <w:pStyle w:val="Normal"/>
        <w:rPr>
          <w:b/>
          <w:b/>
          <w:bCs/>
          <w:u w:val="single"/>
          <w:lang w:val="es-ES"/>
        </w:rPr>
      </w:pPr>
      <w:r>
        <w:rPr>
          <w:b/>
          <w:bCs/>
          <w:u w:val="single"/>
          <w:lang w:val="es-ES"/>
        </w:rPr>
        <w:t>Emisores</w:t>
      </w:r>
    </w:p>
    <w:p>
      <w:pPr>
        <w:pStyle w:val="Normal"/>
        <w:rPr>
          <w:lang w:val="es-ES"/>
        </w:rPr>
      </w:pPr>
      <w:r>
        <w:rPr>
          <w:lang w:val="es-ES"/>
        </w:rPr>
        <w:t>Hidrante</w:t>
      </w:r>
    </w:p>
    <w:p>
      <w:pPr>
        <w:pStyle w:val="Normal"/>
        <w:rPr>
          <w:lang w:val="es-ES"/>
        </w:rPr>
      </w:pPr>
      <w:r>
        <w:rPr>
          <w:lang w:val="es-ES"/>
        </w:rPr>
        <w:t>Fuga</w:t>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LibreOffice/7.0.4.2$Linux_X86_64 LibreOffice_project/00$Build-2</Application>
  <AppVersion>15.0000</AppVersion>
  <Pages>4</Pages>
  <Words>1122</Words>
  <Characters>5476</Characters>
  <CharactersWithSpaces>6532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2022-09-09T20:33:39Z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