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w:t>
      </w:r>
      <w:r>
        <w:rPr>
          <w:b w:val="false"/>
          <w:bCs w:val="false"/>
          <w:u w:val="none"/>
          <w:lang w:val="es-ES"/>
        </w:rPr>
        <w:t>x</w:t>
      </w:r>
      <w:r>
        <w:rPr>
          <w:b w:val="false"/>
          <w:bCs w:val="false"/>
          <w:u w:val="none"/>
          <w:lang w:val="es-ES"/>
        </w:rPr>
        <w:t>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A l</w:t>
      </w:r>
      <w:r>
        <w:rPr>
          <w:b w:val="false"/>
          <w:bCs w:val="false"/>
          <w:u w:val="none"/>
          <w:lang w:val="es-ES"/>
        </w:rPr>
        <w:t xml:space="preserve">os nudos de carga fija </w:t>
      </w:r>
      <w:r>
        <w:rPr>
          <w:b w:val="false"/>
          <w:bCs w:val="false"/>
          <w:u w:val="none"/>
          <w:lang w:val="es-ES"/>
        </w:rPr>
        <w:t>se les calcula u</w:t>
      </w:r>
      <w:r>
        <w:rPr>
          <w:b w:val="false"/>
          <w:bCs w:val="false"/>
          <w:u w:val="none"/>
          <w:lang w:val="es-ES"/>
        </w:rPr>
        <w:t xml:space="preserve">n valor de “Caudal recibido </w:t>
      </w:r>
      <w:r>
        <w:rPr>
          <w:b w:val="false"/>
          <w:bCs w:val="false"/>
          <w:u w:val="none"/>
          <w:lang w:val="es-ES"/>
        </w:rPr>
        <w:t>o aportado</w:t>
      </w:r>
      <w:r>
        <w:rPr>
          <w:b w:val="false"/>
          <w:bCs w:val="false"/>
          <w:u w:val="none"/>
          <w:lang w:val="es-ES"/>
        </w:rPr>
        <w:t xml:space="preserve">” con el cual calcular el </w:t>
      </w:r>
      <w:r>
        <w:rPr>
          <w:rFonts w:cs="Calibri" w:cstheme="minorHAnsi"/>
          <w:b w:val="false"/>
          <w:bCs w:val="false"/>
          <w:u w:val="none"/>
          <w:lang w:val="es-ES"/>
        </w:rPr>
        <w:t>∆</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8"/>
        <w:gridCol w:w="2200"/>
      </w:tblGrid>
      <w:tr>
        <w:trPr/>
        <w:tc>
          <w:tcPr>
            <w:tcW w:w="963" w:type="dxa"/>
            <w:tcBorders>
              <w:top w:val="single" w:sz="2" w:space="0" w:color="000000"/>
              <w:left w:val="single" w:sz="2" w:space="0" w:color="000000"/>
              <w:bottom w:val="single" w:sz="2" w:space="0" w:color="000000"/>
            </w:tcBorders>
          </w:tcPr>
          <w:p>
            <w:pPr>
              <w:pStyle w:val="Contenidodelatabla"/>
              <w:spacing w:before="0" w:after="160"/>
              <w:jc w:val="center"/>
              <w:rPr>
                <w:rFonts w:asciiTheme="minorHAnsi" w:cstheme="minorBidi" w:eastAsiaTheme="minorHAnsi" w:hAnsiTheme="minorHAnsi"/>
                <w:sz w:val="20"/>
                <w:szCs w:val="20"/>
                <w:shd w:fill="auto" w:val="clear"/>
              </w:rPr>
            </w:pPr>
            <w:r>
              <w:rPr>
                <w:rFonts w:asciiTheme="minorHAnsi" w:cstheme="minorBidi" w:eastAsiaTheme="minorHAnsi" w:hAnsi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spacing w:before="0" w:after="160"/>
              <w:jc w:val="center"/>
              <w:rPr>
                <w:rFonts w:asciiTheme="minorHAnsi" w:cstheme="minorBidi" w:eastAsiaTheme="minorHAnsi" w:hAnsiTheme="minorHAnsi"/>
                <w:sz w:val="20"/>
                <w:szCs w:val="20"/>
                <w:shd w:fill="auto" w:val="clear"/>
              </w:rPr>
            </w:pPr>
            <w:r>
              <w:rPr>
                <w:rFonts w:asciiTheme="minorHAnsi" w:cstheme="minorBidi" w:eastAsiaTheme="minorHAnsi" w:hAnsiTheme="minorHAnsi"/>
                <w:sz w:val="20"/>
                <w:szCs w:val="20"/>
                <w:shd w:fill="auto" w:val="clear"/>
              </w:rPr>
              <w:t>Tipo</w:t>
            </w:r>
          </w:p>
        </w:tc>
        <w:tc>
          <w:tcPr>
            <w:tcW w:w="4138" w:type="dxa"/>
            <w:tcBorders>
              <w:top w:val="single" w:sz="2" w:space="0" w:color="000000"/>
              <w:left w:val="single" w:sz="2" w:space="0" w:color="000000"/>
              <w:bottom w:val="single" w:sz="2" w:space="0" w:color="000000"/>
            </w:tcBorders>
          </w:tcPr>
          <w:p>
            <w:pPr>
              <w:pStyle w:val="Contenidodelatabla"/>
              <w:spacing w:before="0" w:after="160"/>
              <w:jc w:val="center"/>
              <w:rPr>
                <w:rFonts w:asciiTheme="minorHAnsi" w:cstheme="minorBidi" w:eastAsiaTheme="minorHAnsi" w:hAnsiTheme="minorHAnsi"/>
                <w:sz w:val="20"/>
                <w:szCs w:val="20"/>
                <w:shd w:fill="auto" w:val="clear"/>
              </w:rPr>
            </w:pPr>
            <w:r>
              <w:rPr>
                <w:rFonts w:asciiTheme="minorHAnsi" w:cstheme="minorBidi" w:eastAsiaTheme="minorHAnsi" w:hAnsiTheme="minorHAnsi"/>
                <w:sz w:val="20"/>
                <w:szCs w:val="20"/>
                <w:shd w:fill="auto" w:val="clear"/>
              </w:rPr>
              <w:t>Descripción</w:t>
            </w:r>
          </w:p>
        </w:tc>
        <w:tc>
          <w:tcPr>
            <w:tcW w:w="2200" w:type="dxa"/>
            <w:tcBorders>
              <w:top w:val="single" w:sz="2" w:space="0" w:color="000000"/>
              <w:left w:val="single" w:sz="2" w:space="0" w:color="000000"/>
              <w:bottom w:val="single" w:sz="2" w:space="0" w:color="000000"/>
              <w:right w:val="single" w:sz="2" w:space="0" w:color="000000"/>
            </w:tcBorders>
          </w:tcPr>
          <w:p>
            <w:pPr>
              <w:pStyle w:val="Contenidodelatabla"/>
              <w:spacing w:before="0" w:after="160"/>
              <w:jc w:val="center"/>
              <w:rPr>
                <w:rFonts w:asciiTheme="minorHAnsi" w:cstheme="minorBidi" w:eastAsiaTheme="minorHAnsi" w:hAnsiTheme="minorHAnsi"/>
                <w:sz w:val="20"/>
                <w:szCs w:val="20"/>
                <w:shd w:fill="auto" w:val="clear"/>
              </w:rPr>
            </w:pPr>
            <w:r>
              <w:rPr>
                <w:rFonts w:asciiTheme="minorHAnsi" w:cstheme="minorBidi" w:eastAsiaTheme="minorHAnsi" w:hAnsi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Carga fija</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Tanque o embalse.</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Emisor</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Hidrante, aspersor, fuga</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Fuente</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Producción fija</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Demanda</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Nudo de demanda</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8"/>
        <w:gridCol w:w="2200"/>
      </w:tblGrid>
      <w:tr>
        <w:trPr/>
        <w:tc>
          <w:tcPr>
            <w:tcW w:w="963" w:type="dxa"/>
            <w:tcBorders>
              <w:top w:val="single" w:sz="2" w:space="0" w:color="000000"/>
              <w:left w:val="single" w:sz="2" w:space="0" w:color="000000"/>
              <w:bottom w:val="single" w:sz="2" w:space="0" w:color="000000"/>
            </w:tcBorders>
          </w:tcPr>
          <w:p>
            <w:pPr>
              <w:pStyle w:val="Contenidodelatabla"/>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spacing w:before="0" w:after="160"/>
              <w:rPr>
                <w:sz w:val="20"/>
                <w:szCs w:val="20"/>
              </w:rPr>
            </w:pPr>
            <w:r>
              <w:rPr>
                <w:sz w:val="20"/>
                <w:szCs w:val="20"/>
              </w:rPr>
              <w:t>Tipo</w:t>
            </w:r>
          </w:p>
        </w:tc>
        <w:tc>
          <w:tcPr>
            <w:tcW w:w="4138" w:type="dxa"/>
            <w:tcBorders>
              <w:top w:val="single" w:sz="2" w:space="0" w:color="000000"/>
              <w:left w:val="single" w:sz="2" w:space="0" w:color="000000"/>
              <w:bottom w:val="single" w:sz="2" w:space="0" w:color="000000"/>
            </w:tcBorders>
          </w:tcPr>
          <w:p>
            <w:pPr>
              <w:pStyle w:val="Contenidodelatabla"/>
              <w:spacing w:before="0" w:after="160"/>
              <w:rPr>
                <w:sz w:val="20"/>
                <w:szCs w:val="20"/>
              </w:rPr>
            </w:pPr>
            <w:r>
              <w:rPr>
                <w:sz w:val="20"/>
                <w:szCs w:val="20"/>
              </w:rPr>
              <w:t>Descripción</w:t>
            </w:r>
          </w:p>
        </w:tc>
        <w:tc>
          <w:tcPr>
            <w:tcW w:w="2200" w:type="dxa"/>
            <w:tcBorders>
              <w:top w:val="single" w:sz="2" w:space="0" w:color="000000"/>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Tubería</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200" w:type="dxa"/>
            <w:tcBorders>
              <w:left w:val="single" w:sz="2" w:space="0" w:color="000000"/>
              <w:bottom w:val="single" w:sz="2" w:space="0" w:color="000000"/>
              <w:right w:val="single" w:sz="2" w:space="0" w:color="000000"/>
            </w:tcBorders>
          </w:tcPr>
          <w:p>
            <w:pPr>
              <w:pStyle w:val="Contenidodelatabla"/>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Reductora</w:t>
            </w:r>
          </w:p>
        </w:tc>
        <w:tc>
          <w:tcPr>
            <w:tcW w:w="4138" w:type="dxa"/>
            <w:tcBorders>
              <w:left w:val="single" w:sz="2" w:space="0" w:color="000000"/>
              <w:bottom w:val="single" w:sz="2" w:space="0" w:color="000000"/>
            </w:tcBorders>
          </w:tcPr>
          <w:p>
            <w:pPr>
              <w:pStyle w:val="Contenidodelatabla"/>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Sostenedora</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Válvula sostenedora de presión</w:t>
            </w:r>
          </w:p>
        </w:tc>
        <w:tc>
          <w:tcPr>
            <w:tcW w:w="2200" w:type="dxa"/>
            <w:tcBorders>
              <w:left w:val="single" w:sz="2" w:space="0" w:color="000000"/>
              <w:bottom w:val="single" w:sz="2" w:space="0" w:color="000000"/>
              <w:right w:val="single" w:sz="2" w:space="0" w:color="000000"/>
            </w:tcBorders>
          </w:tcPr>
          <w:p>
            <w:pPr>
              <w:pStyle w:val="Contenidodelatabla"/>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Check</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Válvula de retención o check</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Caudal</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Válvula reguladora de caudal</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Bomba</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Equipo de bombeo en línea</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spacing w:before="0" w:after="160"/>
              <w:rPr>
                <w:sz w:val="20"/>
                <w:szCs w:val="20"/>
              </w:rPr>
            </w:pPr>
            <w:r>
              <w:rPr>
                <w:sz w:val="20"/>
                <w:szCs w:val="20"/>
              </w:rPr>
              <w:t>Boya/Altitud</w:t>
            </w:r>
          </w:p>
        </w:tc>
        <w:tc>
          <w:tcPr>
            <w:tcW w:w="4138" w:type="dxa"/>
            <w:tcBorders>
              <w:left w:val="single" w:sz="2" w:space="0" w:color="000000"/>
              <w:bottom w:val="single" w:sz="2" w:space="0" w:color="000000"/>
            </w:tcBorders>
          </w:tcPr>
          <w:p>
            <w:pPr>
              <w:pStyle w:val="Contenidodelatabla"/>
              <w:spacing w:before="0" w:after="160"/>
              <w:rPr>
                <w:sz w:val="20"/>
                <w:szCs w:val="20"/>
              </w:rPr>
            </w:pPr>
            <w:r>
              <w:rPr>
                <w:sz w:val="20"/>
                <w:szCs w:val="20"/>
              </w:rPr>
              <w:t>Válvula de boya y válvula de altitud</w:t>
            </w:r>
          </w:p>
        </w:tc>
        <w:tc>
          <w:tcPr>
            <w:tcW w:w="2200" w:type="dxa"/>
            <w:tcBorders>
              <w:left w:val="single" w:sz="2" w:space="0" w:color="000000"/>
              <w:bottom w:val="single" w:sz="2" w:space="0" w:color="000000"/>
              <w:right w:val="single" w:sz="2" w:space="0" w:color="000000"/>
            </w:tcBorders>
          </w:tcPr>
          <w:p>
            <w:pPr>
              <w:pStyle w:val="Contenidodelatabla"/>
              <w:spacing w:before="0" w:after="160"/>
              <w:rPr>
                <w:sz w:val="20"/>
                <w:szCs w:val="20"/>
              </w:rPr>
            </w:pPr>
            <w:r>
              <w:rPr>
                <w:sz w:val="20"/>
                <w:szCs w:val="20"/>
              </w:rPr>
              <w:t>Consigna (H/P)</w:t>
            </w:r>
          </w:p>
        </w:tc>
      </w:tr>
    </w:tbl>
    <w:p>
      <w:pPr>
        <w:pStyle w:val="Normal"/>
        <w:rPr>
          <w:b/>
          <w:b/>
          <w:bCs/>
          <w:u w:val="single"/>
          <w:lang w:val="es-ES"/>
        </w:rPr>
      </w:pPr>
      <w:r>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3"/>
        <w:gridCol w:w="7175"/>
        <w:gridCol w:w="962"/>
      </w:tblGrid>
      <w:tr>
        <w:trPr/>
        <w:tc>
          <w:tcPr>
            <w:tcW w:w="763"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7175"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962"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Silencioso: solo muestra vectores de Q, H y P</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3"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-x</w:t>
            </w:r>
          </w:p>
        </w:tc>
        <w:tc>
          <w:tcPr>
            <w:tcW w:w="7175"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Extendido: ejecución en tiempo extendido, en </w:t>
            </w:r>
            <w:r>
              <w:rPr>
                <w:rFonts w:eastAsia="Calibri" w:cs=""/>
                <w:kern w:val="0"/>
                <w:sz w:val="20"/>
                <w:szCs w:val="20"/>
                <w:lang w:val="es-ES" w:eastAsia="en-US" w:bidi="ar-SA"/>
              </w:rPr>
              <w:t>pasos</w:t>
            </w:r>
            <w:r>
              <w:rPr>
                <w:rFonts w:eastAsia="Calibri" w:cs=""/>
                <w:kern w:val="0"/>
                <w:sz w:val="20"/>
                <w:szCs w:val="20"/>
                <w:lang w:val="es-ES" w:eastAsia="en-US" w:bidi="ar-SA"/>
              </w:rPr>
              <w:t xml:space="preserve"> de 1 hora</w:t>
            </w:r>
          </w:p>
        </w:tc>
        <w:tc>
          <w:tcPr>
            <w:tcW w:w="962"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Espera</w:t>
            </w:r>
          </w:p>
        </w:tc>
      </w:tr>
    </w:tbl>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ListParagraph"/>
        <w:numPr>
          <w:ilvl w:val="0"/>
          <w:numId w:val="3"/>
        </w:numPr>
        <w:jc w:val="both"/>
        <w:rPr>
          <w:lang w:val="es-ES"/>
        </w:rPr>
      </w:pPr>
      <w:r>
        <w:rPr>
          <w:lang w:val="es-ES"/>
        </w:rPr>
        <w:t>Datos de configuración generales</w:t>
      </w:r>
    </w:p>
    <w:p>
      <w:pPr>
        <w:pStyle w:val="Normal"/>
        <w:jc w:val="both"/>
        <w:rPr>
          <w:lang w:val="es-ES"/>
        </w:rPr>
      </w:pPr>
      <w:r>
        <w:rPr>
          <w:lang w:val="es-ES"/>
        </w:rPr>
        <w:t xml:space="preserve">Es conveniente separar </w:t>
      </w:r>
      <w:r>
        <w:rPr>
          <w:lang w:val="es-ES"/>
        </w:rPr>
        <w:t xml:space="preserve">los datos de entrada según sus </w:t>
      </w:r>
      <w:r>
        <w:rPr>
          <w:lang w:val="es-ES"/>
        </w:rPr>
        <w:t xml:space="preserve">componentes en </w:t>
      </w:r>
      <w:r>
        <w:rPr>
          <w:lang w:val="es-ES"/>
        </w:rPr>
        <w:t>varios</w:t>
      </w:r>
      <w:r>
        <w:rPr>
          <w:lang w:val="es-ES"/>
        </w:rPr>
        <w:t xml:space="preserve"> archivos independientes.</w:t>
      </w:r>
    </w:p>
    <w:p>
      <w:pPr>
        <w:pStyle w:val="Normal"/>
        <w:jc w:val="both"/>
        <w:rPr>
          <w:lang w:val="es-ES"/>
        </w:rPr>
      </w:pPr>
      <w:r>
        <w:rPr>
          <w:lang w:val="es-ES"/>
        </w:rPr>
        <w:t>Uno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3118"/>
        <w:gridCol w:w="5289"/>
      </w:tblGrid>
      <w:tr>
        <w:trPr/>
        <w:tc>
          <w:tcPr>
            <w:tcW w:w="3118"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289"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3118"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289"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 xml:space="preserve">El otro archivo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ya el [estado] se debe cambiar por [tipo] y en caso de requerir que la tubería esté abierta o cerrada se debe indicar en las opciones, tal y como se propone .</w:t>
      </w:r>
    </w:p>
    <w:p>
      <w:pPr>
        <w:pStyle w:val="Normal"/>
        <w:rPr>
          <w:b/>
          <w:b/>
          <w:bCs/>
          <w:u w:val="single"/>
          <w:lang w:val="es-ES"/>
        </w:rPr>
      </w:pPr>
      <w:r>
        <w:rPr>
          <w:b/>
          <w:bCs/>
          <w:u w:val="single"/>
          <w:lang w:val="es-ES"/>
        </w:rPr>
        <w:t>Siendo congruentes con la separación de archivos de entrada en topología y parámetros</w:t>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Se requiere trabajar en un algoritmo que pueda cambiar entre tubo a presión y tubo a canal abierto en dichos casos.</w:t>
      </w:r>
    </w:p>
    <w:p>
      <w:pPr>
        <w:pStyle w:val="Normal"/>
        <w:rPr>
          <w:lang w:val="es-ES"/>
        </w:rPr>
      </w:pPr>
      <w:r>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 xml:space="preserve">Si bien es cierto, lo usual en modelos hidráulicos es que al llegar a nivel de tanque mínimo, el nudo correspondiente “se desconecta” con lo que el nivel no “baja por la red”. En la realidad los niveles </w:t>
      </w:r>
      <w:r>
        <w:rPr>
          <w:lang w:val="es-ES"/>
        </w:rPr>
        <w:t>de tanque puede</w:t>
      </w:r>
      <w:r>
        <w:rPr>
          <w:lang w:val="es-ES"/>
        </w:rPr>
        <w:t>n</w:t>
      </w:r>
      <w:r>
        <w:rPr>
          <w:lang w:val="es-ES"/>
        </w:rPr>
        <w:t xml:space="preserve"> ser negativo</w:t>
      </w:r>
      <w:r>
        <w:rPr>
          <w:lang w:val="es-ES"/>
        </w:rPr>
        <w:t>s</w:t>
      </w:r>
      <w:r>
        <w:rPr>
          <w:lang w:val="es-ES"/>
        </w:rPr>
        <w:t xml:space="preserve">, e ir más abajo del nivel de piso, descendiendo por la tubería a medida que se va vaciando la red.  </w:t>
      </w:r>
      <w:r>
        <w:rPr>
          <w:lang w:val="es-ES"/>
        </w:rPr>
        <w:t xml:space="preserve">Con el fin de </w:t>
      </w:r>
      <w:r>
        <w:rPr>
          <w:lang w:val="es-ES"/>
        </w:rPr>
        <w:t xml:space="preserve">simular </w:t>
      </w:r>
      <w:r>
        <w:rPr>
          <w:lang w:val="es-ES"/>
        </w:rPr>
        <w:t>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rPr>
          <w:b w:val="false"/>
          <w:b w:val="false"/>
          <w:bCs w:val="false"/>
          <w:lang w:val="es-ES"/>
        </w:rPr>
      </w:pPr>
      <w:r>
        <w:rPr>
          <w:b w:val="false"/>
          <w:bCs w:val="false"/>
          <w:lang w:val="es-ES"/>
        </w:rPr>
        <w:t>Para la ejecución en tiempo extendido es necesario definir:</w:t>
      </w:r>
    </w:p>
    <w:p>
      <w:pPr>
        <w:pStyle w:val="Normal"/>
        <w:numPr>
          <w:ilvl w:val="0"/>
          <w:numId w:val="4"/>
        </w:numPr>
        <w:rPr>
          <w:b w:val="false"/>
          <w:b w:val="false"/>
          <w:bCs w:val="false"/>
          <w:lang w:val="es-ES"/>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4"/>
        </w:numPr>
        <w:rPr>
          <w:b w:val="false"/>
          <w:b w:val="false"/>
          <w:bCs w:val="false"/>
          <w:lang w:val="es-ES"/>
        </w:rPr>
      </w:pPr>
      <w:r>
        <w:rPr>
          <w:b w:val="false"/>
          <w:bCs w:val="false"/>
          <w:lang w:val="es-ES"/>
        </w:rPr>
        <w:t>La cantidad de unidades de tiempo (horas) para las que se realizará la corrida</w:t>
      </w:r>
    </w:p>
    <w:p>
      <w:pPr>
        <w:pStyle w:val="Normal"/>
        <w:numPr>
          <w:ilvl w:val="0"/>
          <w:numId w:val="4"/>
        </w:numPr>
        <w:rPr>
          <w:b w:val="false"/>
          <w:b w:val="false"/>
          <w:bCs w:val="false"/>
          <w:lang w:val="es-ES"/>
        </w:rPr>
      </w:pPr>
      <w:r>
        <w:rPr>
          <w:b w:val="false"/>
          <w:bCs w:val="false"/>
          <w:lang w:val="es-ES"/>
        </w:rPr>
        <w:t>Se define que estas unidades de tiempo corresponden a horas, no se prevé que sea necesario que esto cambie.</w:t>
      </w:r>
    </w:p>
    <w:p>
      <w:pPr>
        <w:pStyle w:val="Normal"/>
        <w:numPr>
          <w:ilvl w:val="0"/>
          <w:numId w:val="4"/>
        </w:numPr>
        <w:rPr>
          <w:b w:val="false"/>
          <w:b w:val="false"/>
          <w:bCs w:val="false"/>
          <w:lang w:val="es-ES"/>
        </w:rPr>
      </w:pPr>
      <w:r>
        <w:rPr>
          <w:b w:val="false"/>
          <w:bCs w:val="false"/>
          <w:lang w:val="es-ES"/>
        </w:rPr>
        <w:t>Deben estar definidas las curvas correspondientes y asignadas a los nudos, ya sea producciones o demandas</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 xml:space="preserve">Curvas de </w:t>
      </w:r>
      <w:r>
        <w:rPr>
          <w:b/>
          <w:bCs/>
          <w:u w:val="single"/>
          <w:lang w:val="es-ES"/>
        </w:rPr>
        <w:t>variación de caudal</w:t>
      </w:r>
    </w:p>
    <w:p>
      <w:pPr>
        <w:pStyle w:val="Normal"/>
        <w:rPr>
          <w:lang w:val="es-ES"/>
        </w:rPr>
      </w:pPr>
      <w:r>
        <w:rPr>
          <w:lang w:val="es-ES"/>
        </w:rPr>
        <w:t xml:space="preserve">Las curvas de variación de caudales, ya seas curvas de variación de la demanda o curvas de variación de </w:t>
      </w:r>
      <w:r>
        <w:rPr>
          <w:lang w:val="es-ES"/>
        </w:rPr>
        <w:t>producción.  Se proponen los siguientes:</w:t>
      </w:r>
    </w:p>
    <w:p>
      <w:pPr>
        <w:pStyle w:val="Normal"/>
        <w:rPr>
          <w:lang w:val="es-ES"/>
        </w:rPr>
      </w:pPr>
      <w:r>
        <w:rPr>
          <w:lang w:val="es-ES"/>
        </w:rPr>
        <w:t>a. Curva de variación horaria:</w:t>
      </w:r>
      <w:r>
        <w:rPr>
          <w:lang w:val="es-ES"/>
        </w:rPr>
        <w:t xml:space="preserve"> </w:t>
      </w:r>
      <w:r>
        <w:rPr>
          <w:lang w:val="es-ES"/>
        </w:rPr>
        <w:t>contendrá 24 tuplas de [“hora”: fhv], iniciando a las 0 horas, por ejemplo:</w:t>
      </w:r>
    </w:p>
    <w:p>
      <w:pPr>
        <w:pStyle w:val="Normal"/>
        <w:rPr>
          <w:rFonts w:ascii="Latin Modern Mono" w:hAnsi="Latin Modern Mono"/>
          <w:sz w:val="16"/>
          <w:szCs w:val="16"/>
          <w:lang w:val="es-ES"/>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rPr>
          <w:rFonts w:ascii="Calibri" w:hAnsi="Calibri" w:eastAsia="Calibri" w:cs="" w:asciiTheme="minorHAnsi" w:cstheme="minorBidi" w:eastAsiaTheme="minorHAnsi" w:hAnsiTheme="minorHAnsi"/>
          <w:color w:val="auto"/>
          <w:kern w:val="0"/>
          <w:sz w:val="22"/>
          <w:szCs w:val="22"/>
          <w:lang w:val="es-ES" w:eastAsia="en-US" w:bidi="ar-SA"/>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rPr>
          <w:rFonts w:ascii="Latin Modern Mono" w:hAnsi="Latin Modern Mono" w:eastAsia="Calibri" w:cs="" w:cstheme="minorBidi" w:eastAsiaTheme="minorHAnsi"/>
          <w:color w:val="auto"/>
          <w:kern w:val="0"/>
          <w:sz w:val="16"/>
          <w:szCs w:val="16"/>
          <w:lang w:val="es-ES" w:eastAsia="en-US" w:bidi="ar-SA"/>
        </w:rPr>
      </w:pPr>
      <w:r>
        <w:rPr>
          <w:rFonts w:eastAsia="Calibri" w:cs="" w:cstheme="minorBidi" w:eastAsiaTheme="minorHAnsi" w:ascii="Latin Modern Mono" w:hAnsi="Latin Modern Mono"/>
          <w:color w:val="auto"/>
          <w:kern w:val="0"/>
          <w:sz w:val="16"/>
          <w:szCs w:val="16"/>
          <w:lang w:val="es-ES" w:eastAsia="en-US" w:bidi="ar-SA"/>
        </w:rPr>
        <w:t>“</w:t>
      </w:r>
      <w:r>
        <w:rPr>
          <w:rFonts w:eastAsia="Calibri" w:cs="" w:cstheme="minorBidi" w:eastAsiaTheme="minorHAnsi" w:ascii="Latin Modern Mono" w:hAnsi="Latin Modern Mono"/>
          <w:color w:val="auto"/>
          <w:kern w:val="0"/>
          <w:sz w:val="16"/>
          <w:szCs w:val="16"/>
          <w:lang w:val="es-ES" w:eastAsia="en-US" w:bidi="ar-SA"/>
        </w:rPr>
        <w:t>fvdow”: [{“1”:0.9, “2”: 1.0, “3”: 0.9, “4”: 1.0, “5”:0.9, “6”:1.2, “7”:1.1 }]</w:t>
      </w:r>
    </w:p>
    <w:p>
      <w:pPr>
        <w:pStyle w:val="Normal"/>
        <w:rPr>
          <w:b w:val="false"/>
          <w:b w:val="false"/>
          <w:bCs w:val="false"/>
          <w:u w:val="none"/>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rPr>
          <w:rFonts w:ascii="Latin Modern Mono" w:hAnsi="Latin Modern Mono" w:eastAsia="Calibri" w:cs="" w:cstheme="minorBidi" w:eastAsiaTheme="minorHAnsi"/>
          <w:b w:val="false"/>
          <w:b w:val="false"/>
          <w:bCs w:val="false"/>
          <w:color w:val="auto"/>
          <w:kern w:val="0"/>
          <w:sz w:val="16"/>
          <w:szCs w:val="16"/>
          <w:u w:val="none"/>
          <w:lang w:val="es-ES" w:eastAsia="en-US" w:bidi="ar-SA"/>
        </w:rPr>
      </w:pPr>
      <w:r>
        <w:rPr>
          <w:rFonts w:eastAsia="Calibri" w:cs="" w:cstheme="minorBidi" w:eastAsiaTheme="minorHAnsi" w:ascii="Latin Modern Mono" w:hAnsi="Latin Modern Mono"/>
          <w:b w:val="false"/>
          <w:bCs w:val="false"/>
          <w:color w:val="auto"/>
          <w:kern w:val="0"/>
          <w:sz w:val="16"/>
          <w:szCs w:val="16"/>
          <w:u w:val="none"/>
          <w:lang w:val="es-ES" w:eastAsia="en-US" w:bidi="ar-SA"/>
        </w:rPr>
        <w:t>“</w:t>
      </w:r>
      <w:r>
        <w:rPr>
          <w:rFonts w:eastAsia="Calibri" w:cs="" w:cstheme="minorBidi" w:eastAsiaTheme="minorHAnsi" w:ascii="Latin Modern Mono" w:hAnsi="Latin Modern Mono"/>
          <w:b w:val="false"/>
          <w:bCs w:val="false"/>
          <w:color w:val="auto"/>
          <w:kern w:val="0"/>
          <w:sz w:val="16"/>
          <w:szCs w:val="16"/>
          <w:u w:val="none"/>
          <w:lang w:val="es-ES" w:eastAsia="en-US" w:bidi="ar-SA"/>
        </w:rPr>
        <w:t>fv</w:t>
      </w:r>
      <w:r>
        <w:rPr>
          <w:rFonts w:eastAsia="Calibri" w:cs="" w:cstheme="minorBidi" w:eastAsiaTheme="minorHAnsi" w:ascii="Latin Modern Mono" w:hAnsi="Latin Modern Mono"/>
          <w:b w:val="false"/>
          <w:bCs w:val="false"/>
          <w:color w:val="auto"/>
          <w:kern w:val="0"/>
          <w:sz w:val="16"/>
          <w:szCs w:val="16"/>
          <w:u w:val="none"/>
          <w:lang w:val="es-ES" w:eastAsia="en-US" w:bidi="ar-SA"/>
        </w:rPr>
        <w:t>m</w:t>
      </w:r>
      <w:r>
        <w:rPr>
          <w:rFonts w:eastAsia="Calibri" w:cs="" w:cstheme="minorBidi" w:eastAsiaTheme="minorHAnsi" w:ascii="Latin Modern Mono" w:hAnsi="Latin Modern Mono"/>
          <w:b w:val="false"/>
          <w:bCs w:val="false"/>
          <w:color w:val="auto"/>
          <w:kern w:val="0"/>
          <w:sz w:val="16"/>
          <w:szCs w:val="16"/>
          <w:u w:val="none"/>
          <w:lang w:val="es-ES" w:eastAsia="en-US" w:bidi="ar-SA"/>
        </w:rPr>
        <w:t>”: [{“1”:</w:t>
      </w:r>
      <w:r>
        <w:rPr>
          <w:rFonts w:eastAsia="Calibri" w:cs="" w:cstheme="minorBidi" w:eastAsiaTheme="minorHAnsi" w:ascii="Latin Modern Mono" w:hAnsi="Latin Modern Mono"/>
          <w:b w:val="false"/>
          <w:bCs w:val="false"/>
          <w:color w:val="auto"/>
          <w:kern w:val="0"/>
          <w:sz w:val="16"/>
          <w:szCs w:val="16"/>
          <w:u w:val="none"/>
          <w:lang w:val="es-ES" w:eastAsia="en-US" w:bidi="ar-SA"/>
        </w:rPr>
        <w:t>1.0</w:t>
      </w:r>
      <w:r>
        <w:rPr>
          <w:rFonts w:eastAsia="Calibri" w:cs="" w:cstheme="minorBidi" w:eastAsiaTheme="minorHAnsi" w:ascii="Latin Modern Mono" w:hAnsi="Latin Modern Mono"/>
          <w:b w:val="false"/>
          <w:bCs w:val="false"/>
          <w:color w:val="auto"/>
          <w:kern w:val="0"/>
          <w:sz w:val="16"/>
          <w:szCs w:val="16"/>
          <w:u w:val="none"/>
          <w:lang w:val="es-ES" w:eastAsia="en-US" w:bidi="ar-SA"/>
        </w:rPr>
        <w:t>, “2”: 1.0</w:t>
      </w:r>
      <w:r>
        <w:rPr>
          <w:rFonts w:eastAsia="Calibri" w:cs="" w:cstheme="minorBidi" w:eastAsiaTheme="minorHAnsi" w:ascii="Latin Modern Mono" w:hAnsi="Latin Modern Mono"/>
          <w:b w:val="false"/>
          <w:bCs w:val="false"/>
          <w:color w:val="auto"/>
          <w:kern w:val="0"/>
          <w:sz w:val="16"/>
          <w:szCs w:val="16"/>
          <w:u w:val="none"/>
          <w:lang w:val="es-ES" w:eastAsia="en-US" w:bidi="ar-SA"/>
        </w:rPr>
        <w:t>5</w:t>
      </w:r>
      <w:r>
        <w:rPr>
          <w:rFonts w:eastAsia="Calibri" w:cs="" w:cstheme="minorBidi" w:eastAsiaTheme="minorHAnsi" w:ascii="Latin Modern Mono" w:hAnsi="Latin Modern Mono"/>
          <w:b w:val="false"/>
          <w:bCs w:val="false"/>
          <w:color w:val="auto"/>
          <w:kern w:val="0"/>
          <w:sz w:val="16"/>
          <w:szCs w:val="16"/>
          <w:u w:val="none"/>
          <w:lang w:val="es-ES" w:eastAsia="en-US" w:bidi="ar-SA"/>
        </w:rPr>
        <w:t xml:space="preserve">, “3”: </w:t>
      </w:r>
      <w:r>
        <w:rPr>
          <w:rFonts w:eastAsia="Calibri" w:cs="" w:cstheme="minorBidi" w:eastAsiaTheme="minorHAnsi" w:ascii="Latin Modern Mono" w:hAnsi="Latin Modern Mono"/>
          <w:b w:val="false"/>
          <w:bCs w:val="false"/>
          <w:color w:val="auto"/>
          <w:kern w:val="0"/>
          <w:sz w:val="16"/>
          <w:szCs w:val="16"/>
          <w:u w:val="none"/>
          <w:lang w:val="es-ES" w:eastAsia="en-US" w:bidi="ar-SA"/>
        </w:rPr>
        <w:t>1</w:t>
      </w:r>
      <w:r>
        <w:rPr>
          <w:rFonts w:eastAsia="Calibri" w:cs="" w:cstheme="minorBidi" w:eastAsiaTheme="minorHAnsi" w:ascii="Latin Modern Mono" w:hAnsi="Latin Modern Mono"/>
          <w:b w:val="false"/>
          <w:bCs w:val="false"/>
          <w:color w:val="auto"/>
          <w:kern w:val="0"/>
          <w:sz w:val="16"/>
          <w:szCs w:val="16"/>
          <w:u w:val="none"/>
          <w:lang w:val="es-ES" w:eastAsia="en-US" w:bidi="ar-SA"/>
        </w:rPr>
        <w:t>.</w:t>
      </w:r>
      <w:r>
        <w:rPr>
          <w:rFonts w:eastAsia="Calibri" w:cs="" w:cstheme="minorBidi" w:eastAsiaTheme="minorHAnsi" w:ascii="Latin Modern Mono" w:hAnsi="Latin Modern Mono"/>
          <w:b w:val="false"/>
          <w:bCs w:val="false"/>
          <w:color w:val="auto"/>
          <w:kern w:val="0"/>
          <w:sz w:val="16"/>
          <w:szCs w:val="16"/>
          <w:u w:val="none"/>
          <w:lang w:val="es-ES" w:eastAsia="en-US" w:bidi="ar-SA"/>
        </w:rPr>
        <w:t>1</w:t>
      </w:r>
      <w:r>
        <w:rPr>
          <w:rFonts w:eastAsia="Calibri" w:cs="" w:cstheme="minorBidi" w:eastAsiaTheme="minorHAnsi" w:ascii="Latin Modern Mono" w:hAnsi="Latin Modern Mono"/>
          <w:b w:val="false"/>
          <w:bCs w:val="false"/>
          <w:color w:val="auto"/>
          <w:kern w:val="0"/>
          <w:sz w:val="16"/>
          <w:szCs w:val="16"/>
          <w:u w:val="none"/>
          <w:lang w:val="es-ES" w:eastAsia="en-US" w:bidi="ar-SA"/>
        </w:rPr>
        <w:t>, “4”: 1.</w:t>
      </w:r>
      <w:r>
        <w:rPr>
          <w:rFonts w:eastAsia="Calibri" w:cs="" w:cstheme="minorBidi" w:eastAsiaTheme="minorHAnsi" w:ascii="Latin Modern Mono" w:hAnsi="Latin Modern Mono"/>
          <w:b w:val="false"/>
          <w:bCs w:val="false"/>
          <w:color w:val="auto"/>
          <w:kern w:val="0"/>
          <w:sz w:val="16"/>
          <w:szCs w:val="16"/>
          <w:u w:val="none"/>
          <w:lang w:val="es-ES" w:eastAsia="en-US" w:bidi="ar-SA"/>
        </w:rPr>
        <w:t>2</w:t>
      </w:r>
      <w:r>
        <w:rPr>
          <w:rFonts w:eastAsia="Calibri" w:cs="" w:cstheme="minorBidi" w:eastAsiaTheme="minorHAnsi" w:ascii="Latin Modern Mono" w:hAnsi="Latin Modern Mono"/>
          <w:b w:val="false"/>
          <w:bCs w:val="false"/>
          <w:color w:val="auto"/>
          <w:kern w:val="0"/>
          <w:sz w:val="16"/>
          <w:szCs w:val="16"/>
          <w:u w:val="none"/>
          <w:lang w:val="es-ES" w:eastAsia="en-US" w:bidi="ar-SA"/>
        </w:rPr>
        <w:t>, “5”:</w:t>
      </w:r>
      <w:r>
        <w:rPr>
          <w:rFonts w:eastAsia="Calibri" w:cs="" w:cstheme="minorBidi" w:eastAsiaTheme="minorHAnsi" w:ascii="Latin Modern Mono" w:hAnsi="Latin Modern Mono"/>
          <w:b w:val="false"/>
          <w:bCs w:val="false"/>
          <w:color w:val="auto"/>
          <w:kern w:val="0"/>
          <w:sz w:val="16"/>
          <w:szCs w:val="16"/>
          <w:u w:val="none"/>
          <w:lang w:val="es-ES" w:eastAsia="en-US" w:bidi="ar-SA"/>
        </w:rPr>
        <w:t xml:space="preserve"> 1.15</w:t>
      </w:r>
      <w:r>
        <w:rPr>
          <w:rFonts w:eastAsia="Calibri" w:cs="" w:cstheme="minorBidi" w:eastAsiaTheme="minorHAnsi" w:ascii="Latin Modern Mono" w:hAnsi="Latin Modern Mono"/>
          <w:b w:val="false"/>
          <w:bCs w:val="false"/>
          <w:color w:val="auto"/>
          <w:kern w:val="0"/>
          <w:sz w:val="16"/>
          <w:szCs w:val="16"/>
          <w:u w:val="none"/>
          <w:lang w:val="es-ES" w:eastAsia="en-US" w:bidi="ar-SA"/>
        </w:rPr>
        <w:t>, “6”:1.</w:t>
      </w:r>
      <w:r>
        <w:rPr>
          <w:rFonts w:eastAsia="Calibri" w:cs="" w:cstheme="minorBidi" w:eastAsiaTheme="minorHAnsi" w:ascii="Latin Modern Mono" w:hAnsi="Latin Modern Mono"/>
          <w:b w:val="false"/>
          <w:bCs w:val="false"/>
          <w:color w:val="auto"/>
          <w:kern w:val="0"/>
          <w:sz w:val="16"/>
          <w:szCs w:val="16"/>
          <w:u w:val="none"/>
          <w:lang w:val="es-ES" w:eastAsia="en-US" w:bidi="ar-SA"/>
        </w:rPr>
        <w:t>05</w:t>
      </w:r>
      <w:r>
        <w:rPr>
          <w:rFonts w:eastAsia="Calibri" w:cs="" w:cstheme="minorBidi" w:eastAsiaTheme="minorHAnsi" w:ascii="Latin Modern Mono" w:hAnsi="Latin Modern Mono"/>
          <w:b w:val="false"/>
          <w:bCs w:val="false"/>
          <w:color w:val="auto"/>
          <w:kern w:val="0"/>
          <w:sz w:val="16"/>
          <w:szCs w:val="16"/>
          <w:u w:val="none"/>
          <w:lang w:val="es-ES" w:eastAsia="en-US" w:bidi="ar-SA"/>
        </w:rPr>
        <w:t>, “7”:1.1, “</w:t>
      </w:r>
      <w:r>
        <w:rPr>
          <w:rFonts w:eastAsia="Calibri" w:cs="" w:cstheme="minorBidi" w:eastAsiaTheme="minorHAnsi" w:ascii="Latin Modern Mono" w:hAnsi="Latin Modern Mono"/>
          <w:b w:val="false"/>
          <w:bCs w:val="false"/>
          <w:color w:val="auto"/>
          <w:kern w:val="0"/>
          <w:sz w:val="16"/>
          <w:szCs w:val="16"/>
          <w:u w:val="none"/>
          <w:lang w:val="es-ES" w:eastAsia="en-US" w:bidi="ar-SA"/>
        </w:rPr>
        <w:t>8”:, 0.95, “9”: 0.9, “10:, 0.85, “11”: 0.9, “12”: 0.95</w:t>
      </w:r>
      <w:r>
        <w:rPr>
          <w:rFonts w:eastAsia="Calibri" w:cs="" w:cstheme="minorBidi" w:eastAsiaTheme="minorHAnsi" w:ascii="Latin Modern Mono" w:hAnsi="Latin Modern Mono"/>
          <w:b w:val="false"/>
          <w:bCs w:val="false"/>
          <w:color w:val="auto"/>
          <w:kern w:val="0"/>
          <w:sz w:val="16"/>
          <w:szCs w:val="16"/>
          <w:u w:val="none"/>
          <w:lang w:val="es-ES" w:eastAsia="en-US" w:bidi="ar-SA"/>
        </w:rPr>
        <w:t xml:space="preserve"> }]</w:t>
      </w:r>
    </w:p>
    <w:p>
      <w:pPr>
        <w:pStyle w:val="Normal"/>
        <w:rPr>
          <w:b w:val="false"/>
          <w:b w:val="false"/>
          <w:bCs w:val="false"/>
          <w:u w:val="none"/>
        </w:rPr>
      </w:pPr>
      <w:r>
        <w:rPr>
          <w:b w:val="false"/>
          <w:bCs w:val="false"/>
          <w:u w:val="none"/>
          <w:lang w:val="es-ES"/>
        </w:rPr>
        <w:t>d.) Curva de variación de la producción</w:t>
      </w:r>
    </w:p>
    <w:p>
      <w:pPr>
        <w:pStyle w:val="Normal"/>
        <w:rPr>
          <w:b w:val="false"/>
          <w:b w:val="false"/>
          <w:bCs w:val="false"/>
          <w:u w:val="none"/>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rPr>
          <w:b w:val="false"/>
          <w:b w:val="false"/>
          <w:bCs w:val="false"/>
          <w:u w:val="none"/>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w:t>
      </w:r>
      <w:r>
        <w:rPr>
          <w:rFonts w:eastAsia="Calibri" w:cs="" w:ascii="Latin Modern Mono" w:hAnsi="Latin Modern Mono" w:cstheme="minorBidi" w:eastAsiaTheme="minorHAnsi"/>
          <w:b w:val="false"/>
          <w:bCs w:val="false"/>
          <w:color w:val="auto"/>
          <w:kern w:val="0"/>
          <w:sz w:val="16"/>
          <w:szCs w:val="16"/>
          <w:u w:val="none"/>
          <w:lang w:val="es-ES" w:eastAsia="en-US" w:bidi="ar-SA"/>
        </w:rPr>
        <w:t>p</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normal</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1.0</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seca</w:t>
      </w:r>
      <w:r>
        <w:rPr>
          <w:rFonts w:eastAsia="Calibri" w:cs="" w:ascii="Latin Modern Mono" w:hAnsi="Latin Modern Mono" w:cstheme="minorBidi" w:eastAsiaTheme="minorHAnsi"/>
          <w:b w:val="false"/>
          <w:bCs w:val="false"/>
          <w:color w:val="auto"/>
          <w:kern w:val="0"/>
          <w:sz w:val="16"/>
          <w:szCs w:val="16"/>
          <w:u w:val="none"/>
          <w:lang w:val="es-ES" w:eastAsia="en-US" w:bidi="ar-SA"/>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0.9</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lluviosa</w:t>
      </w:r>
      <w:r>
        <w:rPr>
          <w:rFonts w:eastAsia="Calibri" w:cs="" w:ascii="Latin Modern Mono" w:hAnsi="Latin Modern Mono" w:cstheme="minorBidi" w:eastAsiaTheme="minorHAnsi"/>
          <w:b w:val="false"/>
          <w:bCs w:val="false"/>
          <w:color w:val="auto"/>
          <w:kern w:val="0"/>
          <w:sz w:val="16"/>
          <w:szCs w:val="16"/>
          <w:u w:val="none"/>
          <w:lang w:val="es-ES" w:eastAsia="en-US" w:bidi="ar-SA"/>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1</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1</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mantenimiento</w:t>
      </w:r>
      <w:r>
        <w:rPr>
          <w:rFonts w:eastAsia="Calibri" w:cs="" w:ascii="Latin Modern Mono" w:hAnsi="Latin Modern Mono" w:cstheme="minorBidi" w:eastAsiaTheme="minorHAnsi"/>
          <w:b w:val="false"/>
          <w:bCs w:val="false"/>
          <w:color w:val="auto"/>
          <w:kern w:val="0"/>
          <w:sz w:val="16"/>
          <w:szCs w:val="16"/>
          <w:u w:val="none"/>
          <w:lang w:val="es-ES" w:eastAsia="en-US" w:bidi="ar-SA"/>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0.75</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f.o</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 xml:space="preserve"> 0.0</w:t>
      </w:r>
      <w:r>
        <w:rPr>
          <w:rFonts w:eastAsia="Calibri" w:cs="" w:ascii="Latin Modern Mono" w:hAnsi="Latin Modern Mono" w:cstheme="minorBidi" w:eastAsiaTheme="minorHAnsi"/>
          <w:b w:val="false"/>
          <w:bCs w:val="false"/>
          <w:color w:val="auto"/>
          <w:kern w:val="0"/>
          <w:sz w:val="16"/>
          <w:szCs w:val="16"/>
          <w:u w:val="none"/>
          <w:lang w:val="es-ES" w:eastAsia="en-US" w:bidi="ar-SA"/>
        </w:rPr>
        <w:t>, “</w:t>
      </w:r>
      <w:r>
        <w:rPr>
          <w:rFonts w:eastAsia="Calibri" w:cs="" w:ascii="Latin Modern Mono" w:hAnsi="Latin Modern Mono" w:cstheme="minorBidi" w:eastAsiaTheme="minorHAnsi"/>
          <w:b w:val="false"/>
          <w:bCs w:val="false"/>
          <w:color w:val="auto"/>
          <w:kern w:val="0"/>
          <w:sz w:val="16"/>
          <w:szCs w:val="16"/>
          <w:u w:val="none"/>
          <w:lang w:val="es-ES" w:eastAsia="en-US" w:bidi="ar-SA"/>
        </w:rPr>
        <w:t>sobrecarga</w:t>
      </w:r>
      <w:r>
        <w:rPr>
          <w:rFonts w:eastAsia="Calibri" w:cs="" w:ascii="Latin Modern Mono" w:hAnsi="Latin Modern Mono" w:cstheme="minorBidi" w:eastAsiaTheme="minorHAnsi"/>
          <w:b w:val="false"/>
          <w:bCs w:val="false"/>
          <w:color w:val="auto"/>
          <w:kern w:val="0"/>
          <w:sz w:val="16"/>
          <w:szCs w:val="16"/>
          <w:u w:val="none"/>
          <w:lang w:val="es-ES" w:eastAsia="en-US" w:bidi="ar-SA"/>
        </w:rPr>
        <w:t>”:1.</w:t>
      </w:r>
      <w:r>
        <w:rPr>
          <w:rFonts w:eastAsia="Calibri" w:cs="" w:ascii="Latin Modern Mono" w:hAnsi="Latin Modern Mono" w:cstheme="minorBidi" w:eastAsiaTheme="minorHAnsi"/>
          <w:b w:val="false"/>
          <w:bCs w:val="false"/>
          <w:color w:val="auto"/>
          <w:kern w:val="0"/>
          <w:sz w:val="16"/>
          <w:szCs w:val="16"/>
          <w:u w:val="none"/>
          <w:lang w:val="es-ES" w:eastAsia="en-US" w:bidi="ar-SA"/>
        </w:rPr>
        <w:t>2</w:t>
      </w:r>
      <w:r>
        <w:rPr>
          <w:rFonts w:eastAsia="Calibri" w:cs="" w:ascii="Latin Modern Mono" w:hAnsi="Latin Modern Mono" w:cstheme="minorBidi" w:eastAsiaTheme="minorHAnsi"/>
          <w:b w:val="false"/>
          <w:bCs w:val="false"/>
          <w:color w:val="auto"/>
          <w:kern w:val="0"/>
          <w:sz w:val="16"/>
          <w:szCs w:val="16"/>
          <w:u w:val="none"/>
          <w:lang w:val="es-ES" w:eastAsia="en-US" w:bidi="ar-SA"/>
        </w:rPr>
        <w:t xml:space="preserve"> }]</w:t>
      </w:r>
    </w:p>
    <w:p>
      <w:pPr>
        <w:pStyle w:val="Normal"/>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 xml:space="preserve">Los tipos característicos </w:t>
      </w:r>
    </w:p>
    <w:p>
      <w:pPr>
        <w:pStyle w:val="Normal"/>
        <w:jc w:val="both"/>
        <w:rPr/>
      </w:pPr>
      <w:r>
        <w:rPr>
          <w:lang w:val="es-ES"/>
        </w:rPr>
        <w:t>Hidrante</w:t>
      </w:r>
    </w:p>
    <w:p>
      <w:pPr>
        <w:pStyle w:val="Normal"/>
        <w:jc w:val="both"/>
        <w:rPr/>
      </w:pPr>
      <w:r>
        <w:rPr>
          <w:lang w:val="es-ES"/>
        </w:rPr>
        <w:t>La ecuación de descarga de un hidrante está dada por:</w:t>
      </w:r>
    </w:p>
    <w:p>
      <w:pPr>
        <w:pStyle w:val="Normal"/>
        <w:jc w:val="both"/>
        <w:rPr/>
      </w:pPr>
      <w:r>
        <w:rPr>
          <w:lang w:val="es-ES"/>
        </w:rPr>
        <w:t xml:space="preserve">                                      </w:t>
      </w:r>
      <w:r>
        <w:rPr>
          <w:lang w:val="es-ES"/>
        </w:rPr>
        <w:t>Q = Kv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Kv en la literatura, sin embargo, por congruencia con los cálculos del modelo, a continuación se proponen valores de Kv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3"/>
        <w:gridCol w:w="1150"/>
        <w:gridCol w:w="1062"/>
        <w:gridCol w:w="2050"/>
        <w:gridCol w:w="2263"/>
      </w:tblGrid>
      <w:tr>
        <w:trPr>
          <w:trHeight w:val="477" w:hRule="atLeast"/>
        </w:trPr>
        <w:tc>
          <w:tcPr>
            <w:tcW w:w="1413" w:type="dxa"/>
            <w:tcBorders>
              <w:top w:val="single" w:sz="2" w:space="0" w:color="000000"/>
              <w:left w:val="single" w:sz="2" w:space="0" w:color="000000"/>
              <w:bottom w:val="single" w:sz="2" w:space="0" w:color="000000"/>
            </w:tcBorders>
            <w:vAlign w:val="center"/>
          </w:tcPr>
          <w:p>
            <w:pPr>
              <w:pStyle w:val="Normal"/>
              <w:tabs>
                <w:tab w:val="clear" w:pos="720"/>
              </w:tabs>
              <w:spacing w:before="0" w:after="160"/>
              <w:jc w:val="center"/>
              <w:rPr>
                <w:lang w:val="es-ES"/>
              </w:rPr>
            </w:pPr>
            <w:r>
              <w:rPr>
                <w:rFonts w:cs="Calibri" w:cstheme="minorHAnsi"/>
                <w:lang w:val="es-ES"/>
              </w:rPr>
              <w:t>Cantidad</w:t>
            </w:r>
          </w:p>
        </w:tc>
        <w:tc>
          <w:tcPr>
            <w:tcW w:w="1150" w:type="dxa"/>
            <w:tcBorders>
              <w:top w:val="single" w:sz="2" w:space="0" w:color="000000"/>
              <w:left w:val="single" w:sz="2" w:space="0" w:color="000000"/>
              <w:bottom w:val="single" w:sz="2" w:space="0" w:color="000000"/>
            </w:tcBorders>
            <w:vAlign w:val="center"/>
          </w:tcPr>
          <w:p>
            <w:pPr>
              <w:pStyle w:val="Normal"/>
              <w:tabs>
                <w:tab w:val="clear" w:pos="720"/>
              </w:tabs>
              <w:spacing w:before="0" w:after="160"/>
              <w:jc w:val="center"/>
              <w:rPr>
                <w:lang w:val="es-ES"/>
              </w:rPr>
            </w:pPr>
            <w:r>
              <w:rPr/>
              <w:t>D[mm]</w:t>
            </w:r>
          </w:p>
        </w:tc>
        <w:tc>
          <w:tcPr>
            <w:tcW w:w="1062" w:type="dxa"/>
            <w:tcBorders>
              <w:top w:val="single" w:sz="2" w:space="0" w:color="000000"/>
              <w:left w:val="single" w:sz="2" w:space="0" w:color="000000"/>
              <w:bottom w:val="single" w:sz="2" w:space="0" w:color="000000"/>
            </w:tcBorders>
            <w:vAlign w:val="center"/>
          </w:tcPr>
          <w:p>
            <w:pPr>
              <w:pStyle w:val="Normal"/>
              <w:tabs>
                <w:tab w:val="clear" w:pos="720"/>
              </w:tabs>
              <w:spacing w:before="0" w:after="160"/>
              <w:jc w:val="center"/>
              <w:rPr>
                <w:lang w:val="es-ES"/>
              </w:rPr>
            </w:pPr>
            <w:r>
              <w:rPr/>
              <w:t>D [in]</w:t>
            </w:r>
          </w:p>
        </w:tc>
        <w:tc>
          <w:tcPr>
            <w:tcW w:w="2050" w:type="dxa"/>
            <w:tcBorders>
              <w:top w:val="single" w:sz="2" w:space="0" w:color="000000"/>
              <w:left w:val="single" w:sz="2" w:space="0" w:color="000000"/>
              <w:bottom w:val="single" w:sz="2" w:space="0" w:color="000000"/>
            </w:tcBorders>
            <w:vAlign w:val="center"/>
          </w:tcPr>
          <w:p>
            <w:pPr>
              <w:pStyle w:val="Normal"/>
              <w:tabs>
                <w:tab w:val="clear" w:pos="720"/>
              </w:tabs>
              <w:spacing w:before="0" w:after="160"/>
              <w:jc w:val="center"/>
              <w:rPr>
                <w:lang w:val="es-ES"/>
              </w:rPr>
            </w:pPr>
            <w:r>
              <w:rPr/>
              <w:t>Kv</w:t>
              <w:br/>
              <w:t>[m3/h] [bar]</w:t>
            </w:r>
          </w:p>
        </w:tc>
        <w:tc>
          <w:tcPr>
            <w:tcW w:w="2263"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20"/>
              </w:tabs>
              <w:spacing w:before="0" w:after="160"/>
              <w:jc w:val="center"/>
              <w:rPr>
                <w:lang w:val="es-ES"/>
              </w:rPr>
            </w:pPr>
            <w:r>
              <w:rPr/>
              <w:t>Kv’</w:t>
              <w:br/>
              <w:t>[m³/s] [mca]</w:t>
            </w:r>
          </w:p>
        </w:tc>
      </w:tr>
      <w:tr>
        <w:trPr>
          <w:trHeight w:val="256" w:hRule="atLeast"/>
        </w:trPr>
        <w:tc>
          <w:tcPr>
            <w:tcW w:w="1413"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w:t>
            </w:r>
          </w:p>
        </w:tc>
        <w:tc>
          <w:tcPr>
            <w:tcW w:w="11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2</w:t>
            </w:r>
          </w:p>
        </w:tc>
        <w:tc>
          <w:tcPr>
            <w:tcW w:w="20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33</w:t>
            </w:r>
          </w:p>
        </w:tc>
        <w:tc>
          <w:tcPr>
            <w:tcW w:w="2263" w:type="dxa"/>
            <w:tcBorders>
              <w:left w:val="single" w:sz="2" w:space="0" w:color="000000"/>
              <w:bottom w:val="single" w:sz="2" w:space="0" w:color="000000"/>
              <w:right w:val="single" w:sz="2" w:space="0" w:color="000000"/>
            </w:tcBorders>
            <w:vAlign w:val="bottom"/>
          </w:tcPr>
          <w:p>
            <w:pPr>
              <w:pStyle w:val="Normal"/>
              <w:tabs>
                <w:tab w:val="clear" w:pos="720"/>
              </w:tabs>
              <w:spacing w:before="0" w:after="160"/>
              <w:jc w:val="center"/>
              <w:rPr>
                <w:lang w:val="es-ES"/>
              </w:rPr>
            </w:pPr>
            <w:r>
              <w:rPr/>
              <w:t>2,871E-03</w:t>
            </w:r>
          </w:p>
        </w:tc>
      </w:tr>
      <w:tr>
        <w:trPr>
          <w:trHeight w:val="256" w:hRule="atLeast"/>
        </w:trPr>
        <w:tc>
          <w:tcPr>
            <w:tcW w:w="1413"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2</w:t>
            </w:r>
          </w:p>
        </w:tc>
        <w:tc>
          <w:tcPr>
            <w:tcW w:w="11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2</w:t>
            </w:r>
          </w:p>
        </w:tc>
        <w:tc>
          <w:tcPr>
            <w:tcW w:w="20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66</w:t>
            </w:r>
          </w:p>
        </w:tc>
        <w:tc>
          <w:tcPr>
            <w:tcW w:w="2263" w:type="dxa"/>
            <w:tcBorders>
              <w:left w:val="single" w:sz="2" w:space="0" w:color="000000"/>
              <w:bottom w:val="single" w:sz="2" w:space="0" w:color="000000"/>
              <w:right w:val="single" w:sz="2" w:space="0" w:color="000000"/>
            </w:tcBorders>
            <w:vAlign w:val="bottom"/>
          </w:tcPr>
          <w:p>
            <w:pPr>
              <w:pStyle w:val="Normal"/>
              <w:tabs>
                <w:tab w:val="clear" w:pos="720"/>
              </w:tabs>
              <w:spacing w:before="0" w:after="160"/>
              <w:jc w:val="center"/>
              <w:rPr>
                <w:lang w:val="es-ES"/>
              </w:rPr>
            </w:pPr>
            <w:r>
              <w:rPr/>
              <w:t>5,741E-03</w:t>
            </w:r>
          </w:p>
        </w:tc>
      </w:tr>
      <w:tr>
        <w:trPr>
          <w:trHeight w:val="256" w:hRule="atLeast"/>
        </w:trPr>
        <w:tc>
          <w:tcPr>
            <w:tcW w:w="1413"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w:t>
            </w:r>
          </w:p>
        </w:tc>
        <w:tc>
          <w:tcPr>
            <w:tcW w:w="11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3</w:t>
            </w:r>
          </w:p>
        </w:tc>
        <w:tc>
          <w:tcPr>
            <w:tcW w:w="20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80</w:t>
            </w:r>
          </w:p>
        </w:tc>
        <w:tc>
          <w:tcPr>
            <w:tcW w:w="2263" w:type="dxa"/>
            <w:tcBorders>
              <w:left w:val="single" w:sz="2" w:space="0" w:color="000000"/>
              <w:bottom w:val="single" w:sz="2" w:space="0" w:color="000000"/>
              <w:right w:val="single" w:sz="2" w:space="0" w:color="000000"/>
            </w:tcBorders>
            <w:vAlign w:val="bottom"/>
          </w:tcPr>
          <w:p>
            <w:pPr>
              <w:pStyle w:val="Normal"/>
              <w:tabs>
                <w:tab w:val="clear" w:pos="720"/>
              </w:tabs>
              <w:spacing w:before="0" w:after="160"/>
              <w:jc w:val="center"/>
              <w:rPr>
                <w:lang w:val="es-ES"/>
              </w:rPr>
            </w:pPr>
            <w:r>
              <w:rPr/>
              <w:t>6,959E-03</w:t>
            </w:r>
          </w:p>
        </w:tc>
      </w:tr>
      <w:tr>
        <w:trPr>
          <w:trHeight w:val="256" w:hRule="atLeast"/>
        </w:trPr>
        <w:tc>
          <w:tcPr>
            <w:tcW w:w="1413"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2</w:t>
            </w:r>
          </w:p>
        </w:tc>
        <w:tc>
          <w:tcPr>
            <w:tcW w:w="11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3</w:t>
            </w:r>
          </w:p>
        </w:tc>
        <w:tc>
          <w:tcPr>
            <w:tcW w:w="20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150</w:t>
            </w:r>
          </w:p>
        </w:tc>
        <w:tc>
          <w:tcPr>
            <w:tcW w:w="2263" w:type="dxa"/>
            <w:tcBorders>
              <w:left w:val="single" w:sz="2" w:space="0" w:color="000000"/>
              <w:bottom w:val="single" w:sz="2" w:space="0" w:color="000000"/>
              <w:right w:val="single" w:sz="2" w:space="0" w:color="000000"/>
            </w:tcBorders>
            <w:vAlign w:val="bottom"/>
          </w:tcPr>
          <w:p>
            <w:pPr>
              <w:pStyle w:val="Normal"/>
              <w:tabs>
                <w:tab w:val="clear" w:pos="720"/>
              </w:tabs>
              <w:spacing w:before="0" w:after="160"/>
              <w:jc w:val="center"/>
              <w:rPr>
                <w:lang w:val="es-ES"/>
              </w:rPr>
            </w:pPr>
            <w:r>
              <w:rPr/>
              <w:t>1,305E-02</w:t>
            </w:r>
          </w:p>
        </w:tc>
      </w:tr>
      <w:tr>
        <w:trPr>
          <w:trHeight w:val="256" w:hRule="atLeast"/>
        </w:trPr>
        <w:tc>
          <w:tcPr>
            <w:tcW w:w="1413"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w:t>
            </w:r>
          </w:p>
        </w:tc>
        <w:tc>
          <w:tcPr>
            <w:tcW w:w="11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100</w:t>
            </w:r>
          </w:p>
        </w:tc>
        <w:tc>
          <w:tcPr>
            <w:tcW w:w="1062"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4</w:t>
            </w:r>
          </w:p>
        </w:tc>
        <w:tc>
          <w:tcPr>
            <w:tcW w:w="2050" w:type="dxa"/>
            <w:tcBorders>
              <w:left w:val="single" w:sz="2" w:space="0" w:color="000000"/>
              <w:bottom w:val="single" w:sz="2" w:space="0" w:color="000000"/>
            </w:tcBorders>
            <w:vAlign w:val="bottom"/>
          </w:tcPr>
          <w:p>
            <w:pPr>
              <w:pStyle w:val="Normal"/>
              <w:tabs>
                <w:tab w:val="clear" w:pos="720"/>
              </w:tabs>
              <w:spacing w:before="0" w:after="160"/>
              <w:jc w:val="center"/>
              <w:rPr>
                <w:lang w:val="es-ES"/>
              </w:rPr>
            </w:pPr>
            <w:r>
              <w:rPr/>
              <w:t>180</w:t>
            </w:r>
          </w:p>
        </w:tc>
        <w:tc>
          <w:tcPr>
            <w:tcW w:w="2263" w:type="dxa"/>
            <w:tcBorders>
              <w:left w:val="single" w:sz="2" w:space="0" w:color="000000"/>
              <w:bottom w:val="single" w:sz="2" w:space="0" w:color="000000"/>
              <w:right w:val="single" w:sz="2" w:space="0" w:color="000000"/>
            </w:tcBorders>
            <w:vAlign w:val="bottom"/>
          </w:tcPr>
          <w:p>
            <w:pPr>
              <w:pStyle w:val="Normal"/>
              <w:tabs>
                <w:tab w:val="clear" w:pos="720"/>
              </w:tabs>
              <w:spacing w:before="0" w:after="160"/>
              <w:jc w:val="center"/>
              <w:rPr>
                <w:lang w:val="es-ES"/>
              </w:rPr>
            </w:pPr>
            <w:r>
              <w:rPr/>
              <w:t>1,566E-02</w:t>
            </w:r>
          </w:p>
        </w:tc>
      </w:tr>
    </w:tbl>
    <w:p>
      <w:pPr>
        <w:pStyle w:val="Normal"/>
        <w:rPr>
          <w:lang w:val="es-ES"/>
        </w:rPr>
      </w:pPr>
      <w:r>
        <w:rPr/>
      </w:r>
    </w:p>
    <w:p>
      <w:pPr>
        <w:pStyle w:val="Normal"/>
        <w:rPr>
          <w:lang w:val="es-ES"/>
        </w:rPr>
      </w:pPr>
      <w:r>
        <w:rPr/>
      </w:r>
    </w:p>
    <w:p>
      <w:pPr>
        <w:pStyle w:val="Normal"/>
        <w:rPr>
          <w:lang w:val="es-ES"/>
        </w:rPr>
      </w:pPr>
      <w:r>
        <w:rPr>
          <w:lang w:val="es-ES"/>
        </w:rPr>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atin Modern Mono">
    <w:charset w:val="01"/>
    <w:family w:val="auto"/>
    <w:pitch w:val="fixed"/>
  </w:font>
  <w:font w:name="DejaVu Sans">
    <w:charset w:val="01"/>
    <w:family w:val="swiss"/>
    <w:pitch w:val="default"/>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LibreOffice/7.0.4.2$Linux_X86_64 LibreOffice_project/00$Build-2</Application>
  <AppVersion>15.0000</AppVersion>
  <Pages>7</Pages>
  <Words>2266</Words>
  <Characters>11065</Characters>
  <CharactersWithSpaces>13201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2022-09-10T12:01:45Z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