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uto" w:line="276" w:before="240" w:after="120"/>
        <w:jc w:val="center"/>
        <w:rPr/>
      </w:pPr>
      <w:r>
        <w:rPr>
          <w:rFonts w:ascii="Times New Roman" w:hAnsi="Times New Roman"/>
          <w:b/>
          <w:sz w:val="28"/>
        </w:rPr>
        <w:t>1. ОБЩИЕ СВЕДЕНИЯ ОБ ОБЪЕКТЕ ПРОЕКТИРОВАНИЯ</w:t>
      </w:r>
    </w:p>
    <w:p>
      <w:pPr>
        <w:pStyle w:val="Normal"/>
        <w:widowControl/>
        <w:spacing w:lineRule="auto" w:line="276" w:before="0" w:after="120"/>
        <w:jc w:val="both"/>
        <w:rPr>
          <w:rFonts w:ascii="JetBrains Mono" w:hAnsi="JetBrains Mono"/>
          <w:color w:val="871094"/>
          <w:highlight w:val="white"/>
        </w:rPr>
      </w:pPr>
      <w:r>
        <w:rPr>
          <w:rFonts w:ascii="Times New Roman" w:hAnsi="Times New Roman"/>
          <w:b w:val="false"/>
          <w:sz w:val="24"/>
        </w:rPr>
        <w:t xml:space="preserve">Объект проектирования – </w:t>
      </w:r>
      <w:r>
        <w:rPr>
          <w:rFonts w:ascii="Times New Roman" w:hAnsi="Times New Roman"/>
          <w:b w:val="false"/>
          <w:sz w:val="24"/>
          <w:highlight w:val="green"/>
        </w:rPr>
        <w:t>{</w:t>
      </w:r>
      <w:r>
        <w:rPr>
          <w:rFonts w:ascii="Times New Roman" w:hAnsi="Times New Roman"/>
          <w:b w:val="false"/>
          <w:sz w:val="24"/>
          <w:shd w:fill="4BF357" w:val="clear"/>
        </w:rPr>
        <w:t>{</w:t>
      </w:r>
      <w:r>
        <w:rPr>
          <w:rFonts w:ascii="Times New Roman" w:hAnsi="Times New Roman"/>
          <w:shd w:fill="4BF357" w:val="clear"/>
        </w:rPr>
        <w:t>НАИМЕНОВАНИЕ_ПРОЕКТА_lower</w:t>
      </w:r>
      <w:r>
        <w:rPr>
          <w:rFonts w:ascii="Times New Roman" w:hAnsi="Times New Roman"/>
          <w:b w:val="false"/>
          <w:sz w:val="24"/>
          <w:shd w:fill="4BF357" w:val="clear"/>
        </w:rPr>
        <w:t>}</w:t>
      </w:r>
      <w:r>
        <w:rPr>
          <w:rFonts w:ascii="Times New Roman" w:hAnsi="Times New Roman"/>
          <w:b w:val="false"/>
          <w:sz w:val="24"/>
          <w:highlight w:val="green"/>
        </w:rPr>
        <w:t>}</w:t>
      </w:r>
      <w:r>
        <w:rPr>
          <w:rFonts w:ascii="Times New Roman" w:hAnsi="Times New Roman"/>
          <w:b w:val="false"/>
          <w:sz w:val="24"/>
        </w:rPr>
        <w:t xml:space="preserve"> мощностью </w:t>
      </w:r>
      <w:r>
        <w:rPr>
          <w:rFonts w:ascii="Times New Roman" w:hAnsi="Times New Roman"/>
          <w:b w:val="false"/>
          <w:color w:val="000000"/>
          <w:sz w:val="24"/>
          <w:shd w:fill="4BF357" w:val="clear"/>
        </w:rPr>
        <w:t>{{</w:t>
      </w:r>
      <w:r>
        <w:rPr>
          <w:rFonts w:ascii="Times New Roman" w:hAnsi="Times New Roman"/>
          <w:color w:val="000000"/>
          <w:shd w:fill="4BF357" w:val="clear"/>
        </w:rPr>
        <w:t>МОЩНОСТЬ_ОБЪЕКТА_МВт</w:t>
      </w:r>
      <w:r>
        <w:rPr>
          <w:rFonts w:ascii="Times New Roman" w:hAnsi="Times New Roman"/>
          <w:b w:val="false"/>
          <w:color w:val="000000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color w:val="000000"/>
          <w:sz w:val="24"/>
        </w:rPr>
        <w:t xml:space="preserve"> МВт</w:t>
      </w:r>
      <w:r>
        <w:rPr>
          <w:rFonts w:ascii="Times New Roman" w:hAnsi="Times New Roman"/>
          <w:b w:val="false"/>
          <w:sz w:val="24"/>
        </w:rPr>
        <w:t xml:space="preserve"> по адресу: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rFonts w:ascii="Times New Roman" w:hAnsi="Times New Roman"/>
          <w:shd w:fill="4BF357" w:val="clear"/>
        </w:rPr>
        <w:t>АДРЕС_ОБЪЕКТА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 xml:space="preserve">{%p if </w:t>
      </w:r>
      <w:r>
        <w:rPr>
          <w:i/>
        </w:rPr>
        <w:t>НАЗНАЧЕНИЕ_ОБЪЕКТА</w:t>
      </w:r>
      <w:r>
        <w:rPr>
          <w:rFonts w:ascii="Times New Roman" w:hAnsi="Times New Roman"/>
          <w:i/>
          <w:sz w:val="24"/>
        </w:rPr>
        <w:t xml:space="preserve">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Цель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type_of_work_genitive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– </w:t>
      </w:r>
      <w:r>
        <w:rPr>
          <w:rFonts w:ascii="Times New Roman" w:hAnsi="Times New Roman"/>
          <w:b w:val="false"/>
          <w:sz w:val="24"/>
          <w:highlight w:val="green"/>
        </w:rPr>
        <w:t>{</w:t>
      </w:r>
      <w:r>
        <w:rPr>
          <w:rFonts w:ascii="Times New Roman" w:hAnsi="Times New Roman"/>
          <w:b w:val="false"/>
          <w:sz w:val="24"/>
          <w:shd w:fill="4BF357" w:val="clear"/>
        </w:rPr>
        <w:t>{</w:t>
      </w:r>
      <w:r>
        <w:rPr>
          <w:shd w:fill="4BF357" w:val="clear"/>
        </w:rPr>
        <w:t>НАЗНАЧЕНИЕ_ОБЪЕКТА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Согласно СанПиН 2.2.1/2.1.1.1200-03 «Санитарно-защитные зоны и санитарная классификация предприятий, сооружений и иных объектов. Новая редакция» деятельность рассматриваемого объекта относится к </w:t>
      </w:r>
      <w:r>
        <w:rPr>
          <w:rFonts w:ascii="Times New Roman" w:hAnsi="Times New Roman"/>
          <w:b w:val="false"/>
          <w:sz w:val="24"/>
          <w:highlight w:val="green"/>
        </w:rPr>
        <w:t>{{sanitary_zone.hazard_class}}</w:t>
      </w:r>
      <w:r>
        <w:rPr>
          <w:rFonts w:ascii="Times New Roman" w:hAnsi="Times New Roman"/>
          <w:b w:val="false"/>
          <w:sz w:val="24"/>
        </w:rPr>
        <w:t xml:space="preserve"> классу опасности (</w:t>
      </w:r>
      <w:r>
        <w:rPr>
          <w:rFonts w:ascii="Times New Roman" w:hAnsi="Times New Roman"/>
          <w:b w:val="false"/>
          <w:sz w:val="24"/>
          <w:highlight w:val="green"/>
        </w:rPr>
        <w:t>{{sanitary_zone.sanpin_reference}}</w:t>
      </w:r>
      <w:r>
        <w:rPr>
          <w:rFonts w:ascii="Times New Roman" w:hAnsi="Times New Roman"/>
          <w:b w:val="false"/>
          <w:sz w:val="24"/>
        </w:rPr>
        <w:t xml:space="preserve">), регламентированный размер СЗЗ – </w:t>
      </w:r>
      <w:r>
        <w:rPr>
          <w:rFonts w:ascii="Times New Roman" w:hAnsi="Times New Roman"/>
          <w:b w:val="false"/>
          <w:sz w:val="24"/>
          <w:shd w:fill="FFE779" w:val="clear"/>
        </w:rPr>
        <w:t>{{SANITARY_ZONE_SIZE_M}}</w:t>
      </w:r>
      <w:r>
        <w:rPr>
          <w:rFonts w:ascii="Times New Roman" w:hAnsi="Times New Roman"/>
          <w:b w:val="false"/>
          <w:sz w:val="24"/>
        </w:rPr>
        <w:t xml:space="preserve"> м.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name_nominative_short | capitalize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планируется к размещению на участке с кадастровым номером </w:t>
      </w:r>
      <w:r>
        <w:rPr>
          <w:rFonts w:ascii="Times New Roman" w:hAnsi="Times New Roman"/>
          <w:b w:val="false"/>
          <w:sz w:val="24"/>
          <w:highlight w:val="green"/>
        </w:rPr>
        <w:t>{{land_plot.cadastral_number}}</w:t>
      </w:r>
      <w:r>
        <w:rPr>
          <w:rFonts w:ascii="Times New Roman" w:hAnsi="Times New Roman"/>
          <w:b w:val="false"/>
          <w:sz w:val="24"/>
        </w:rPr>
        <w:t xml:space="preserve">, категория земель – </w:t>
      </w:r>
      <w:r>
        <w:rPr>
          <w:rFonts w:ascii="Times New Roman" w:hAnsi="Times New Roman"/>
          <w:b w:val="false"/>
          <w:sz w:val="24"/>
          <w:highlight w:val="green"/>
        </w:rPr>
        <w:t>{{land_plot.land_category}}</w:t>
      </w:r>
      <w:r>
        <w:rPr>
          <w:rFonts w:ascii="Times New Roman" w:hAnsi="Times New Roman"/>
          <w:b w:val="false"/>
          <w:sz w:val="24"/>
        </w:rPr>
        <w:t xml:space="preserve">, разрешенное использование – </w:t>
      </w:r>
      <w:r>
        <w:rPr>
          <w:rFonts w:ascii="Times New Roman" w:hAnsi="Times New Roman"/>
          <w:b w:val="false"/>
          <w:sz w:val="24"/>
          <w:highlight w:val="green"/>
        </w:rPr>
        <w:t>{{land_plot.permitted_use}}</w:t>
      </w:r>
      <w:r>
        <w:rPr>
          <w:rFonts w:ascii="Times New Roman" w:hAnsi="Times New Roman"/>
          <w:b w:val="false"/>
          <w:sz w:val="24"/>
        </w:rPr>
        <w:t xml:space="preserve">. Площадь земельного участка </w:t>
      </w:r>
      <w:r>
        <w:rPr>
          <w:rFonts w:ascii="Times New Roman" w:hAnsi="Times New Roman"/>
          <w:b w:val="false"/>
          <w:sz w:val="24"/>
          <w:highlight w:val="green"/>
        </w:rPr>
        <w:t>{{land_plot.area_sqm}}</w:t>
      </w:r>
      <w:r>
        <w:rPr>
          <w:rFonts w:ascii="Times New Roman" w:hAnsi="Times New Roman"/>
          <w:b w:val="false"/>
          <w:sz w:val="24"/>
        </w:rPr>
        <w:t xml:space="preserve"> кв.м.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Контур объекта сформирован границами земельного участка под размещение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if structures.structures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На территории указанного участка проектными решениями к размещению приняты: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for item in structures.structures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- </w:t>
      </w:r>
      <w:r>
        <w:rPr>
          <w:rFonts w:ascii="Times New Roman" w:hAnsi="Times New Roman"/>
          <w:b w:val="false"/>
          <w:sz w:val="24"/>
          <w:highlight w:val="green"/>
        </w:rPr>
        <w:t>{{item}}</w:t>
      </w:r>
      <w:r>
        <w:rPr>
          <w:rFonts w:ascii="Times New Roman" w:hAnsi="Times New Roman"/>
          <w:b w:val="false"/>
          <w:sz w:val="24"/>
        </w:rPr>
        <w:t>;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endfor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Использование участка под размещение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относится к основному виду разрешенного использования.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if ownership.ownership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Право пользования земельным участком подтверждено </w:t>
      </w:r>
      <w:r>
        <w:rPr>
          <w:rFonts w:ascii="Times New Roman" w:hAnsi="Times New Roman"/>
          <w:b w:val="false"/>
          <w:sz w:val="24"/>
          <w:highlight w:val="green"/>
        </w:rPr>
        <w:t>{{ownership.ownership}}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Земельный участок (кадастровый номер </w:t>
      </w:r>
      <w:r>
        <w:rPr>
          <w:rFonts w:ascii="Times New Roman" w:hAnsi="Times New Roman"/>
          <w:b w:val="false"/>
          <w:sz w:val="24"/>
          <w:highlight w:val="green"/>
        </w:rPr>
        <w:t>{{land_plot.cadastral_number}}</w:t>
      </w:r>
      <w:r>
        <w:rPr>
          <w:rFonts w:ascii="Times New Roman" w:hAnsi="Times New Roman"/>
          <w:b w:val="false"/>
          <w:sz w:val="24"/>
        </w:rPr>
        <w:t xml:space="preserve">) на территории которого планируется размещение </w:t>
      </w:r>
      <w:r>
        <w:rPr>
          <w:rFonts w:ascii="Times New Roman" w:hAnsi="Times New Roman"/>
          <w:b w:val="false"/>
          <w:sz w:val="24"/>
          <w:highlight w:val="green"/>
        </w:rPr>
        <w:t>{</w:t>
      </w:r>
      <w:r>
        <w:rPr>
          <w:rFonts w:ascii="Times New Roman" w:hAnsi="Times New Roman"/>
          <w:b w:val="false"/>
          <w:sz w:val="24"/>
          <w:shd w:fill="4BF357" w:val="clear"/>
        </w:rPr>
        <w:t>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>, ограничен</w:t>
      </w:r>
      <w:r>
        <w:rPr>
          <w:rFonts w:ascii="Times New Roman" w:hAnsi="Times New Roman"/>
          <w:i/>
          <w:sz w:val="24"/>
        </w:rPr>
        <w:t>{%if sanitary_zone.size_m %}</w:t>
      </w:r>
      <w:r>
        <w:rPr>
          <w:rFonts w:ascii="Times New Roman" w:hAnsi="Times New Roman"/>
          <w:b w:val="false"/>
          <w:sz w:val="24"/>
        </w:rPr>
        <w:t xml:space="preserve"> (в радиусе нормативной санитарно-защитной зоны </w:t>
      </w:r>
      <w:r>
        <w:rPr>
          <w:rFonts w:ascii="Times New Roman" w:hAnsi="Times New Roman"/>
          <w:b w:val="false"/>
          <w:sz w:val="24"/>
          <w:highlight w:val="green"/>
        </w:rPr>
        <w:t>{{sanitary_zone.size_m}}</w:t>
      </w:r>
      <w:r>
        <w:rPr>
          <w:rFonts w:ascii="Times New Roman" w:hAnsi="Times New Roman"/>
          <w:b w:val="false"/>
          <w:sz w:val="24"/>
        </w:rPr>
        <w:t xml:space="preserve"> м)</w:t>
      </w:r>
      <w:r>
        <w:rPr>
          <w:rFonts w:ascii="Times New Roman" w:hAnsi="Times New Roman"/>
          <w:i/>
          <w:sz w:val="24"/>
        </w:rPr>
        <w:t>{%endif%}</w:t>
      </w:r>
      <w:r>
        <w:rPr>
          <w:rFonts w:ascii="Times New Roman" w:hAnsi="Times New Roman"/>
          <w:b w:val="false"/>
          <w:sz w:val="24"/>
        </w:rPr>
        <w:t>: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for item in surroundings.directions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- </w:t>
      </w:r>
      <w:r>
        <w:rPr>
          <w:rFonts w:ascii="Times New Roman" w:hAnsi="Times New Roman"/>
          <w:b w:val="false"/>
          <w:sz w:val="24"/>
          <w:highlight w:val="green"/>
        </w:rPr>
        <w:t>{{item.cardinal_direction}}</w:t>
      </w:r>
      <w:r>
        <w:rPr>
          <w:rFonts w:ascii="Times New Roman" w:hAnsi="Times New Roman"/>
          <w:b w:val="false"/>
          <w:sz w:val="24"/>
        </w:rPr>
        <w:t xml:space="preserve"> – </w:t>
      </w:r>
      <w:r>
        <w:rPr>
          <w:rFonts w:ascii="Times New Roman" w:hAnsi="Times New Roman"/>
          <w:b w:val="false"/>
          <w:sz w:val="24"/>
          <w:highlight w:val="green"/>
        </w:rPr>
        <w:t>{{item.</w:t>
      </w:r>
      <w:r>
        <w:rPr>
          <w:rFonts w:ascii="Times New Roman" w:hAnsi="Times New Roman"/>
          <w:b w:val="false"/>
          <w:sz w:val="24"/>
          <w:shd w:fill="4BF357" w:val="clear"/>
        </w:rPr>
        <w:t>description</w:t>
      </w:r>
      <w:r>
        <w:rPr>
          <w:rFonts w:ascii="Times New Roman" w:hAnsi="Times New Roman"/>
          <w:b w:val="false"/>
          <w:sz w:val="24"/>
          <w:highlight w:val="green"/>
        </w:rPr>
        <w:t>}}</w:t>
      </w:r>
      <w:r>
        <w:rPr>
          <w:rFonts w:ascii="Times New Roman" w:hAnsi="Times New Roman"/>
          <w:b w:val="false"/>
          <w:sz w:val="24"/>
        </w:rPr>
        <w:t>;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endfor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Район расположения предприятия проанализирован на основании следующих официальных данных:</w:t>
      </w:r>
    </w:p>
    <w:p>
      <w:pPr>
        <w:pStyle w:val="Normal"/>
        <w:widowControl/>
        <w:spacing w:lineRule="auto" w:line="276" w:before="0" w:after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публичная кадастровая карта Портала пространственных данных Национальная система пространственных данных (НСПД). </w:t>
      </w:r>
      <w:hyperlink r:id="rId2">
        <w:r>
          <w:rPr>
            <w:rStyle w:val="Style"/>
            <w:rFonts w:ascii="Times New Roman" w:hAnsi="Times New Roman"/>
            <w:sz w:val="24"/>
          </w:rPr>
          <w:t>https://nspd.gov.ru;</w:t>
        </w:r>
      </w:hyperlink>
    </w:p>
    <w:p>
      <w:pPr>
        <w:pStyle w:val="Normal"/>
        <w:widowControl/>
        <w:spacing w:lineRule="auto" w:line="276" w:before="0" w:after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- данные по земельному участку, полученные в органах Федеральной службы Росреестра;</w:t>
      </w:r>
    </w:p>
    <w:p>
      <w:pPr>
        <w:pStyle w:val="Normal"/>
        <w:widowControl/>
        <w:spacing w:lineRule="auto" w:line="276" w:before="0" w:after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ситуационный план размещения котельной М 1:500 (Приложение 2); 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Ближайшие нормируемые объекты расположены</w:t>
      </w:r>
      <w:r>
        <w:rPr>
          <w:rFonts w:ascii="Times New Roman" w:hAnsi="Times New Roman"/>
          <w:i/>
          <w:sz w:val="24"/>
        </w:rPr>
        <w:t xml:space="preserve">{%if  </w:t>
      </w:r>
      <w:r>
        <w:rPr>
          <w:rFonts w:ascii="Times New Roman" w:hAnsi="Times New Roman"/>
          <w:b w:val="false"/>
          <w:sz w:val="24"/>
        </w:rPr>
        <w:t>SANITARY_ZONE_SIZE_M</w:t>
      </w:r>
      <w:r>
        <w:rPr>
          <w:rFonts w:ascii="Times New Roman" w:hAnsi="Times New Roman"/>
          <w:i/>
          <w:sz w:val="24"/>
        </w:rPr>
        <w:t xml:space="preserve"> %}</w:t>
      </w:r>
      <w:r>
        <w:rPr>
          <w:rFonts w:ascii="Times New Roman" w:hAnsi="Times New Roman"/>
          <w:b w:val="false"/>
          <w:sz w:val="24"/>
        </w:rPr>
        <w:t xml:space="preserve"> (в радиусе нормативной санитарно-защитной зоны </w:t>
      </w:r>
      <w:r>
        <w:rPr>
          <w:rFonts w:ascii="Times New Roman" w:hAnsi="Times New Roman"/>
          <w:b w:val="false"/>
          <w:sz w:val="24"/>
          <w:shd w:fill="F8D957" w:val="clear"/>
        </w:rPr>
        <w:t>{{SANITARY_ZONE_SIZE_M}}</w:t>
      </w:r>
      <w:r>
        <w:rPr>
          <w:rFonts w:ascii="Times New Roman" w:hAnsi="Times New Roman"/>
          <w:b w:val="false"/>
          <w:sz w:val="24"/>
        </w:rPr>
        <w:t xml:space="preserve"> м)</w:t>
      </w:r>
      <w:r>
        <w:rPr>
          <w:rFonts w:ascii="Times New Roman" w:hAnsi="Times New Roman"/>
          <w:i/>
          <w:sz w:val="24"/>
        </w:rPr>
        <w:t>{%endif%}</w:t>
      </w:r>
      <w:r>
        <w:rPr>
          <w:rFonts w:ascii="Times New Roman" w:hAnsi="Times New Roman"/>
          <w:b w:val="false"/>
          <w:sz w:val="24"/>
        </w:rPr>
        <w:t>:</w:t>
      </w:r>
    </w:p>
    <w:tbl>
      <w:tblPr>
        <w:tblStyle w:val="Style_2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pacing w:val="0"/>
                <w:kern w:val="0"/>
                <w:sz w:val="20"/>
                <w:szCs w:val="20"/>
              </w:rPr>
              <w:t xml:space="preserve">№ </w:t>
            </w:r>
            <w:r>
              <w:rPr>
                <w:rFonts w:ascii="Times New Roman" w:hAnsi="Times New Roman"/>
                <w:b/>
                <w:color w:val="000000"/>
                <w:spacing w:val="0"/>
                <w:kern w:val="0"/>
                <w:sz w:val="20"/>
                <w:szCs w:val="20"/>
              </w:rPr>
              <w:t>п/п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pacing w:val="0"/>
                <w:kern w:val="0"/>
                <w:sz w:val="20"/>
                <w:szCs w:val="20"/>
              </w:rPr>
              <w:t>Кадастровый номер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pacing w:val="0"/>
                <w:kern w:val="0"/>
                <w:sz w:val="20"/>
                <w:szCs w:val="20"/>
              </w:rPr>
              <w:t>Вид нормируемого объекта, адрес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pacing w:val="0"/>
                <w:kern w:val="0"/>
                <w:sz w:val="20"/>
                <w:szCs w:val="20"/>
              </w:rPr>
              <w:t>Расстояние до контура объекта (м)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i/>
                <w:color w:val="000000"/>
                <w:spacing w:val="0"/>
                <w:kern w:val="0"/>
                <w:sz w:val="20"/>
                <w:szCs w:val="20"/>
              </w:rPr>
              <w:t>{%tr for obj in nearest_objects.nearest_objects %}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color w:val="000000"/>
                <w:spacing w:val="0"/>
                <w:kern w:val="0"/>
                <w:sz w:val="22"/>
                <w:szCs w:val="20"/>
              </w:rPr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color w:val="000000"/>
                <w:spacing w:val="0"/>
                <w:kern w:val="0"/>
                <w:sz w:val="22"/>
                <w:szCs w:val="20"/>
              </w:rPr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color w:val="000000"/>
                <w:spacing w:val="0"/>
                <w:kern w:val="0"/>
                <w:sz w:val="22"/>
                <w:szCs w:val="20"/>
              </w:rPr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 w:val="false"/>
                <w:color w:val="000000"/>
                <w:spacing w:val="0"/>
                <w:kern w:val="0"/>
                <w:sz w:val="20"/>
                <w:szCs w:val="20"/>
                <w:highlight w:val="green"/>
              </w:rPr>
              <w:t>{{obj.number}}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 w:val="false"/>
                <w:color w:val="000000"/>
                <w:spacing w:val="0"/>
                <w:kern w:val="0"/>
                <w:sz w:val="20"/>
                <w:szCs w:val="20"/>
                <w:highlight w:val="green"/>
              </w:rPr>
              <w:t>{{obj.cadastral_number}}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 w:val="false"/>
                <w:color w:val="000000"/>
                <w:spacing w:val="0"/>
                <w:kern w:val="0"/>
                <w:sz w:val="20"/>
                <w:szCs w:val="20"/>
                <w:highlight w:val="green"/>
              </w:rPr>
              <w:t>{{obj.description}}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 w:val="false"/>
                <w:color w:val="000000"/>
                <w:spacing w:val="0"/>
                <w:kern w:val="0"/>
                <w:sz w:val="20"/>
                <w:szCs w:val="20"/>
                <w:highlight w:val="green"/>
              </w:rPr>
              <w:t>{{obj.distance}}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i/>
                <w:color w:val="000000"/>
                <w:spacing w:val="0"/>
                <w:kern w:val="0"/>
                <w:sz w:val="20"/>
                <w:szCs w:val="20"/>
              </w:rPr>
              <w:t>{%tr endfor %}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color w:val="000000"/>
                <w:spacing w:val="0"/>
                <w:kern w:val="0"/>
                <w:sz w:val="22"/>
                <w:szCs w:val="20"/>
              </w:rPr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color w:val="000000"/>
                <w:spacing w:val="0"/>
                <w:kern w:val="0"/>
                <w:sz w:val="22"/>
                <w:szCs w:val="20"/>
              </w:rPr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color w:val="000000"/>
                <w:spacing w:val="0"/>
                <w:kern w:val="0"/>
                <w:sz w:val="22"/>
                <w:szCs w:val="20"/>
              </w:rPr>
            </w:r>
          </w:p>
        </w:tc>
      </w:tr>
    </w:tbl>
    <w:p>
      <w:pPr>
        <w:pStyle w:val="Normal"/>
        <w:widowControl/>
        <w:spacing w:lineRule="auto" w:line="276" w:before="0" w:after="120"/>
        <w:jc w:val="both"/>
        <w:rPr/>
      </w:pPr>
      <w:r>
        <w:rPr/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Ситуационный план расположения объекта проектирования представлен на рисунке 1.1. Ситуационный план с нанесенными источниками шума и выбросов, расчетными точками по фактору шумового воздействия и химического загрязнения атмосферы представлен в Приложении 2.</w:t>
      </w:r>
    </w:p>
    <w:p>
      <w:pPr>
        <w:pStyle w:val="Normal"/>
        <w:widowControl/>
        <w:spacing w:lineRule="auto" w:line="276" w:before="0" w:after="120"/>
        <w:jc w:val="center"/>
        <w:rPr/>
      </w:pPr>
      <w:r>
        <w:rPr>
          <w:rFonts w:ascii="Times New Roman" w:hAnsi="Times New Roman"/>
          <w:b w:val="false"/>
          <w:sz w:val="24"/>
        </w:rPr>
        <w:t xml:space="preserve">Рисунок 1.1. Ситуационный план расположения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</w:p>
    <w:p>
      <w:pPr>
        <w:pStyle w:val="Normal"/>
        <w:widowControl/>
        <w:spacing w:lineRule="auto" w:line="276" w:before="240" w:after="120"/>
        <w:jc w:val="start"/>
        <w:rPr/>
      </w:pPr>
      <w:r>
        <w:rPr>
          <w:rFonts w:ascii="Times New Roman" w:hAnsi="Times New Roman"/>
          <w:b/>
          <w:sz w:val="24"/>
        </w:rPr>
        <w:t>1.1. Архитектурно-планировочные решения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if architecture.building_type == 'modular'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БМК состоит из </w:t>
      </w:r>
      <w:r>
        <w:rPr>
          <w:rFonts w:ascii="Times New Roman" w:hAnsi="Times New Roman"/>
          <w:b w:val="false"/>
          <w:sz w:val="24"/>
          <w:highlight w:val="green"/>
        </w:rPr>
        <w:t>{{architecture.module_count}}</w:t>
      </w:r>
      <w:r>
        <w:rPr>
          <w:rFonts w:ascii="Times New Roman" w:hAnsi="Times New Roman"/>
          <w:b w:val="false"/>
          <w:sz w:val="24"/>
        </w:rPr>
        <w:t xml:space="preserve"> блок-модулей заводской готовности, с размерами в осях </w:t>
      </w:r>
      <w:r>
        <w:rPr>
          <w:rFonts w:ascii="Times New Roman" w:hAnsi="Times New Roman"/>
          <w:b w:val="false"/>
          <w:sz w:val="24"/>
          <w:highlight w:val="green"/>
        </w:rPr>
        <w:t>{{architecture.axes}}</w:t>
      </w:r>
      <w:r>
        <w:rPr>
          <w:rFonts w:ascii="Times New Roman" w:hAnsi="Times New Roman"/>
          <w:b w:val="false"/>
          <w:sz w:val="24"/>
        </w:rPr>
        <w:t xml:space="preserve"> – </w:t>
      </w:r>
      <w:r>
        <w:rPr>
          <w:rFonts w:ascii="Times New Roman" w:hAnsi="Times New Roman"/>
          <w:b w:val="false"/>
          <w:sz w:val="24"/>
          <w:highlight w:val="green"/>
        </w:rPr>
        <w:t>{{architecture.dimensions}}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Высота помещений до низа строительных конструкций </w:t>
      </w:r>
      <w:r>
        <w:rPr>
          <w:rFonts w:ascii="Times New Roman" w:hAnsi="Times New Roman"/>
          <w:b w:val="false"/>
          <w:sz w:val="24"/>
          <w:highlight w:val="green"/>
        </w:rPr>
        <w:t>{{architecture.room_height_m}}</w:t>
      </w:r>
      <w:r>
        <w:rPr>
          <w:rFonts w:ascii="Times New Roman" w:hAnsi="Times New Roman"/>
          <w:b w:val="false"/>
          <w:sz w:val="24"/>
        </w:rPr>
        <w:t xml:space="preserve"> м.</w:t>
      </w:r>
    </w:p>
    <w:p>
      <w:pPr>
        <w:pStyle w:val="Normal"/>
        <w:widowControl/>
        <w:spacing w:lineRule="auto" w:line="276" w:before="0" w:after="120"/>
        <w:jc w:val="both"/>
        <w:rPr>
          <w:rFonts w:ascii="JetBrains Mono" w:hAnsi="JetBrains Mono"/>
          <w:color w:val="000000"/>
          <w:highlight w:val="white"/>
        </w:rPr>
      </w:pPr>
      <w:r>
        <w:rPr>
          <w:rFonts w:ascii="Times New Roman" w:hAnsi="Times New Roman"/>
          <w:b w:val="false"/>
          <w:sz w:val="24"/>
        </w:rPr>
        <w:t xml:space="preserve">Стены здания выполнены из панелей типа "Сэндвич" заводского изготовления, толщиной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rFonts w:ascii="Times New Roman" w:hAnsi="Times New Roman"/>
          <w:color w:val="000000"/>
          <w:sz w:val="24"/>
          <w:shd w:fill="4BF357" w:val="clear"/>
        </w:rPr>
        <w:t>constructive</w:t>
      </w:r>
      <w:r>
        <w:rPr>
          <w:rFonts w:ascii="Times New Roman" w:hAnsi="Times New Roman"/>
          <w:b w:val="false"/>
          <w:sz w:val="24"/>
          <w:shd w:fill="4BF357" w:val="clear"/>
        </w:rPr>
        <w:t>.wall_thickness_mm}}</w:t>
      </w:r>
      <w:r>
        <w:rPr>
          <w:rFonts w:ascii="Times New Roman" w:hAnsi="Times New Roman"/>
          <w:b w:val="false"/>
          <w:sz w:val="24"/>
        </w:rPr>
        <w:t xml:space="preserve"> мм.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Конструктивная схема здания – </w:t>
      </w:r>
      <w:r>
        <w:rPr>
          <w:rFonts w:ascii="Times New Roman" w:hAnsi="Times New Roman"/>
          <w:b w:val="false"/>
          <w:sz w:val="24"/>
          <w:highlight w:val="green"/>
        </w:rPr>
        <w:t>{{</w:t>
      </w:r>
      <w:r>
        <w:rPr>
          <w:rFonts w:ascii="Times New Roman" w:hAnsi="Times New Roman"/>
          <w:color w:val="000000"/>
          <w:sz w:val="24"/>
          <w:shd w:fill="4BF357" w:val="clear"/>
        </w:rPr>
        <w:t>constructive</w:t>
      </w:r>
      <w:r>
        <w:rPr>
          <w:rFonts w:ascii="Times New Roman" w:hAnsi="Times New Roman"/>
          <w:b w:val="false"/>
          <w:sz w:val="24"/>
          <w:highlight w:val="green"/>
        </w:rPr>
        <w:t>.structural_scheme}}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else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Здание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</w:t>
      </w:r>
      <w:r>
        <w:rPr>
          <w:rFonts w:ascii="Times New Roman" w:hAnsi="Times New Roman"/>
          <w:b w:val="false"/>
          <w:sz w:val="24"/>
          <w:highlight w:val="green"/>
        </w:rPr>
        <w:t>{{architecture.floors}}</w:t>
      </w:r>
      <w:r>
        <w:rPr>
          <w:rFonts w:ascii="Times New Roman" w:hAnsi="Times New Roman"/>
          <w:b w:val="false"/>
          <w:sz w:val="24"/>
        </w:rPr>
        <w:t xml:space="preserve">, </w:t>
      </w:r>
      <w:r>
        <w:rPr>
          <w:rFonts w:ascii="Times New Roman" w:hAnsi="Times New Roman"/>
          <w:b w:val="false"/>
          <w:sz w:val="24"/>
          <w:highlight w:val="green"/>
        </w:rPr>
        <w:t>{{architecture.construction_type}}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Габаритные размеры здания в осях </w:t>
      </w:r>
      <w:r>
        <w:rPr>
          <w:rFonts w:ascii="Times New Roman" w:hAnsi="Times New Roman"/>
          <w:b w:val="false"/>
          <w:sz w:val="24"/>
          <w:highlight w:val="green"/>
        </w:rPr>
        <w:t>{{architecture.axes}}</w:t>
      </w:r>
      <w:r>
        <w:rPr>
          <w:rFonts w:ascii="Times New Roman" w:hAnsi="Times New Roman"/>
          <w:b w:val="false"/>
          <w:sz w:val="24"/>
        </w:rPr>
        <w:t xml:space="preserve"> составляют </w:t>
      </w:r>
      <w:r>
        <w:rPr>
          <w:rFonts w:ascii="Times New Roman" w:hAnsi="Times New Roman"/>
          <w:b w:val="false"/>
          <w:sz w:val="24"/>
          <w:highlight w:val="green"/>
        </w:rPr>
        <w:t>{{architecture.dimensions}}</w:t>
      </w:r>
      <w:r>
        <w:rPr>
          <w:rFonts w:ascii="Times New Roman" w:hAnsi="Times New Roman"/>
          <w:b w:val="false"/>
          <w:sz w:val="24"/>
        </w:rPr>
        <w:t xml:space="preserve"> м.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Максимальная высота здания составляет </w:t>
      </w:r>
      <w:r>
        <w:rPr>
          <w:rFonts w:ascii="Times New Roman" w:hAnsi="Times New Roman"/>
          <w:b w:val="false"/>
          <w:sz w:val="24"/>
          <w:highlight w:val="green"/>
        </w:rPr>
        <w:t>{{architecture.building_height_m}}</w:t>
      </w:r>
      <w:r>
        <w:rPr>
          <w:rFonts w:ascii="Times New Roman" w:hAnsi="Times New Roman"/>
          <w:b w:val="false"/>
          <w:sz w:val="24"/>
        </w:rPr>
        <w:t xml:space="preserve"> м.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Конструктивная схема здания – </w:t>
      </w:r>
      <w:r>
        <w:rPr>
          <w:rFonts w:ascii="Times New Roman" w:hAnsi="Times New Roman"/>
          <w:b w:val="false"/>
          <w:sz w:val="24"/>
          <w:highlight w:val="green"/>
        </w:rPr>
        <w:t>{{</w:t>
      </w:r>
      <w:r>
        <w:rPr>
          <w:rFonts w:ascii="Times New Roman" w:hAnsi="Times New Roman"/>
          <w:color w:val="000000"/>
          <w:sz w:val="24"/>
          <w:shd w:fill="4BF357" w:val="clear"/>
        </w:rPr>
        <w:t>constructive</w:t>
      </w:r>
      <w:r>
        <w:rPr>
          <w:rFonts w:ascii="Times New Roman" w:hAnsi="Times New Roman"/>
          <w:b w:val="false"/>
          <w:sz w:val="24"/>
          <w:highlight w:val="green"/>
        </w:rPr>
        <w:t>.structural_scheme}}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Уходящие газы удаляются из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по </w:t>
      </w:r>
      <w:r>
        <w:rPr>
          <w:rFonts w:ascii="Times New Roman" w:hAnsi="Times New Roman"/>
          <w:b w:val="false"/>
          <w:sz w:val="24"/>
          <w:highlight w:val="green"/>
        </w:rPr>
        <w:t>{{gas_flue.stack_count}}</w:t>
      </w:r>
      <w:r>
        <w:rPr>
          <w:rFonts w:ascii="Times New Roman" w:hAnsi="Times New Roman"/>
          <w:b w:val="false"/>
          <w:sz w:val="24"/>
        </w:rPr>
        <w:t xml:space="preserve"> газоотводящим стволам, внутренним диаметром </w:t>
      </w:r>
      <w:r>
        <w:rPr>
          <w:rFonts w:ascii="Times New Roman" w:hAnsi="Times New Roman"/>
          <w:b w:val="false"/>
          <w:sz w:val="24"/>
          <w:highlight w:val="green"/>
        </w:rPr>
        <w:t>{{gas_flue.stack_diameter_mm}}</w:t>
      </w:r>
      <w:r>
        <w:rPr>
          <w:rFonts w:ascii="Times New Roman" w:hAnsi="Times New Roman"/>
          <w:b w:val="false"/>
          <w:sz w:val="24"/>
        </w:rPr>
        <w:t xml:space="preserve"> мм. Высота верха газоотводящих стволов </w:t>
      </w:r>
      <w:r>
        <w:rPr>
          <w:rFonts w:ascii="Times New Roman" w:hAnsi="Times New Roman"/>
          <w:b w:val="false"/>
          <w:sz w:val="24"/>
          <w:highlight w:val="green"/>
        </w:rPr>
        <w:t>{{gas_flue.stack_height_m}}</w:t>
      </w:r>
      <w:r>
        <w:rPr>
          <w:rFonts w:ascii="Times New Roman" w:hAnsi="Times New Roman"/>
          <w:b w:val="false"/>
          <w:sz w:val="24"/>
        </w:rPr>
        <w:t xml:space="preserve"> м.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На территории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не предусмотрены парковочные места для стоянки автомобилей, контейнерная площадка. Отстой автотранспорта при доставке обслуживающей бригады, подвозе реагентов осуществляется за пределами промплощадки, уборка территории выполняется ручными инструментами.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Автотранспорт на балансе предприятия отсутствует. Вывоз отходов осуществляется транспортом специализированной лицензированной организации по заявке эксплуатирующей организации.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</w:t>
      </w:r>
      <w:r>
        <w:rPr>
          <w:rFonts w:ascii="Times New Roman" w:hAnsi="Times New Roman"/>
          <w:color w:val="000000"/>
          <w:sz w:val="24"/>
          <w:shd w:fill="4BF357" w:val="clear"/>
        </w:rPr>
        <w:t>constructive</w:t>
      </w:r>
      <w:r>
        <w:rPr>
          <w:rFonts w:ascii="Times New Roman" w:hAnsi="Times New Roman"/>
          <w:b w:val="false"/>
          <w:sz w:val="24"/>
          <w:highlight w:val="green"/>
        </w:rPr>
        <w:t>.entrance_description}}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240" w:after="120"/>
        <w:jc w:val="start"/>
        <w:rPr/>
      </w:pPr>
      <w:r>
        <w:rPr>
          <w:rFonts w:ascii="Times New Roman" w:hAnsi="Times New Roman"/>
          <w:b/>
          <w:sz w:val="24"/>
        </w:rPr>
        <w:t>1.2. Технико-экономические и эксплуатационные показатели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Назначением </w:t>
      </w:r>
      <w:r>
        <w:rPr>
          <w:rFonts w:ascii="Times New Roman" w:hAnsi="Times New Roman"/>
          <w:b w:val="false"/>
          <w:sz w:val="24"/>
          <w:highlight w:val="green"/>
        </w:rPr>
        <w:t>{</w:t>
      </w:r>
      <w:r>
        <w:rPr>
          <w:rFonts w:ascii="Times New Roman" w:hAnsi="Times New Roman"/>
          <w:b w:val="false"/>
          <w:sz w:val="24"/>
          <w:shd w:fill="4BF357" w:val="clear"/>
        </w:rPr>
        <w:t>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является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НАЗНАЧЕНИЕ_ОБЪЕКТА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Режим работы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– </w:t>
      </w:r>
      <w:r>
        <w:rPr>
          <w:rFonts w:ascii="Times New Roman" w:hAnsi="Times New Roman"/>
          <w:b w:val="false"/>
          <w:sz w:val="24"/>
          <w:highlight w:val="green"/>
        </w:rPr>
        <w:t>{{heat_supply.operation_mode}}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>
          <w:rFonts w:ascii="Times New Roman" w:hAnsi="Times New Roman"/>
          <w:color w:val="000000"/>
          <w:shd w:fill="4BF357" w:val="clear"/>
        </w:rPr>
      </w:pPr>
      <w:r>
        <w:rPr>
          <w:rFonts w:ascii="Times New Roman" w:hAnsi="Times New Roman"/>
          <w:b w:val="false"/>
          <w:sz w:val="24"/>
        </w:rPr>
        <w:t xml:space="preserve">Установленная мощность </w:t>
      </w:r>
      <w:r>
        <w:rPr>
          <w:rFonts w:ascii="Times New Roman" w:hAnsi="Times New Roman"/>
          <w:b w:val="false"/>
          <w:sz w:val="24"/>
          <w:highlight w:val="green"/>
        </w:rPr>
        <w:t>{</w:t>
      </w:r>
      <w:r>
        <w:rPr>
          <w:rFonts w:ascii="Times New Roman" w:hAnsi="Times New Roman"/>
          <w:b w:val="false"/>
          <w:sz w:val="24"/>
          <w:shd w:fill="4BF357" w:val="clear"/>
        </w:rPr>
        <w:t>{</w:t>
      </w:r>
      <w:r>
        <w:rPr>
          <w:rFonts w:ascii="Times New Roman" w:hAnsi="Times New Roman"/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</w:t>
      </w:r>
      <w:r>
        <w:rPr>
          <w:rFonts w:ascii="Times New Roman" w:hAnsi="Times New Roman"/>
          <w:b w:val="false"/>
          <w:sz w:val="24"/>
          <w:highlight w:val="green"/>
        </w:rPr>
        <w:t>}</w:t>
      </w:r>
      <w:r>
        <w:rPr>
          <w:rFonts w:ascii="Times New Roman" w:hAnsi="Times New Roman"/>
          <w:b w:val="false"/>
          <w:sz w:val="24"/>
        </w:rPr>
        <w:t xml:space="preserve">: </w:t>
      </w:r>
      <w:r>
        <w:rPr>
          <w:rFonts w:ascii="Times New Roman" w:hAnsi="Times New Roman"/>
          <w:b w:val="false"/>
          <w:sz w:val="24"/>
          <w:highlight w:val="green"/>
        </w:rPr>
        <w:t>{</w:t>
      </w:r>
      <w:r>
        <w:rPr>
          <w:rFonts w:ascii="Times New Roman" w:hAnsi="Times New Roman"/>
          <w:b w:val="false"/>
          <w:color w:val="000000"/>
          <w:sz w:val="24"/>
          <w:shd w:fill="4BF357" w:val="clear"/>
        </w:rPr>
        <w:t>{</w:t>
      </w:r>
      <w:r>
        <w:rPr>
          <w:rFonts w:ascii="Times New Roman" w:hAnsi="Times New Roman"/>
          <w:color w:val="000000"/>
          <w:shd w:fill="4BF357" w:val="clear"/>
        </w:rPr>
        <w:t>МОЩНОСТЬ_ОБЪЕКТА_МВт</w:t>
      </w:r>
      <w:r>
        <w:rPr>
          <w:rFonts w:ascii="Times New Roman" w:hAnsi="Times New Roman"/>
          <w:b w:val="false"/>
          <w:color w:val="000000"/>
          <w:sz w:val="24"/>
          <w:shd w:fill="4BF357" w:val="clear"/>
        </w:rPr>
        <w:t>}</w:t>
      </w:r>
      <w:r>
        <w:rPr>
          <w:rFonts w:ascii="Times New Roman" w:hAnsi="Times New Roman"/>
          <w:b w:val="false"/>
          <w:sz w:val="24"/>
          <w:highlight w:val="green"/>
        </w:rPr>
        <w:t>}</w:t>
      </w:r>
      <w:r>
        <w:rPr>
          <w:rFonts w:ascii="Times New Roman" w:hAnsi="Times New Roman"/>
          <w:b w:val="false"/>
          <w:sz w:val="24"/>
        </w:rPr>
        <w:t xml:space="preserve"> МВт (</w:t>
      </w:r>
      <w:r>
        <w:rPr>
          <w:rFonts w:ascii="Times New Roman" w:hAnsi="Times New Roman"/>
          <w:b w:val="false"/>
          <w:sz w:val="24"/>
          <w:highlight w:val="green"/>
        </w:rPr>
        <w:t>{{</w:t>
      </w:r>
      <w:r>
        <w:rPr>
          <w:rFonts w:ascii="Times New Roman" w:hAnsi="Times New Roman"/>
          <w:color w:val="000000"/>
          <w:shd w:fill="4BF357" w:val="clear"/>
        </w:rPr>
        <w:t>МОЩНОСТЬ_ОБЪЕКТА_Гкал_час</w:t>
      </w:r>
      <w:r>
        <w:rPr>
          <w:rFonts w:ascii="Times New Roman" w:hAnsi="Times New Roman"/>
          <w:b w:val="false"/>
          <w:sz w:val="24"/>
          <w:highlight w:val="green"/>
        </w:rPr>
        <w:t>}}</w:t>
      </w:r>
      <w:r>
        <w:rPr>
          <w:rFonts w:ascii="Times New Roman" w:hAnsi="Times New Roman"/>
          <w:b w:val="false"/>
          <w:sz w:val="24"/>
        </w:rPr>
        <w:t xml:space="preserve"> Гкал/ч).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Система теплоснабжения – </w:t>
      </w:r>
      <w:r>
        <w:rPr>
          <w:rFonts w:ascii="Times New Roman" w:hAnsi="Times New Roman"/>
          <w:b w:val="false"/>
          <w:sz w:val="24"/>
          <w:highlight w:val="green"/>
        </w:rPr>
        <w:t>{{heat_supply.system_type}}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Теплоносителем является: </w:t>
      </w:r>
      <w:r>
        <w:rPr>
          <w:rFonts w:ascii="Times New Roman" w:hAnsi="Times New Roman"/>
          <w:b w:val="false"/>
          <w:sz w:val="24"/>
          <w:highlight w:val="green"/>
        </w:rPr>
        <w:t>{{heat_supply.heat_carrier}}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Температурный график: </w:t>
      </w:r>
      <w:r>
        <w:rPr>
          <w:rFonts w:ascii="Times New Roman" w:hAnsi="Times New Roman"/>
          <w:b w:val="false"/>
          <w:sz w:val="24"/>
          <w:highlight w:val="green"/>
        </w:rPr>
        <w:t>{{heat_supply.temperature_schedule}}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Проектом предусмотрена установка водогрейных котлов: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for boiler in boilers.boilers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- </w:t>
      </w:r>
      <w:r>
        <w:rPr>
          <w:rFonts w:ascii="Times New Roman" w:hAnsi="Times New Roman"/>
          <w:b w:val="false"/>
          <w:sz w:val="24"/>
          <w:highlight w:val="green"/>
        </w:rPr>
        <w:t>{{boiler.name}}</w:t>
      </w:r>
      <w:r>
        <w:rPr>
          <w:rFonts w:ascii="Times New Roman" w:hAnsi="Times New Roman"/>
          <w:b w:val="false"/>
          <w:sz w:val="24"/>
        </w:rPr>
        <w:t>, фирмы «</w:t>
      </w:r>
      <w:r>
        <w:rPr>
          <w:rFonts w:ascii="Times New Roman" w:hAnsi="Times New Roman"/>
          <w:b w:val="false"/>
          <w:sz w:val="24"/>
          <w:highlight w:val="green"/>
        </w:rPr>
        <w:t>{{boiler.manufacturer}}</w:t>
      </w:r>
      <w:r>
        <w:rPr>
          <w:rFonts w:ascii="Times New Roman" w:hAnsi="Times New Roman"/>
          <w:b w:val="false"/>
          <w:sz w:val="24"/>
        </w:rPr>
        <w:t xml:space="preserve">» единичной мощностью </w:t>
      </w:r>
      <w:r>
        <w:rPr>
          <w:rFonts w:ascii="Times New Roman" w:hAnsi="Times New Roman"/>
          <w:b w:val="false"/>
          <w:sz w:val="24"/>
          <w:highlight w:val="green"/>
        </w:rPr>
        <w:t>{{boiler.capacity_kw}}</w:t>
      </w:r>
      <w:r>
        <w:rPr>
          <w:rFonts w:ascii="Times New Roman" w:hAnsi="Times New Roman"/>
          <w:b w:val="false"/>
          <w:sz w:val="24"/>
        </w:rPr>
        <w:t xml:space="preserve"> кВт, с </w:t>
      </w:r>
      <w:r>
        <w:rPr>
          <w:rFonts w:ascii="Times New Roman" w:hAnsi="Times New Roman"/>
          <w:b w:val="false"/>
          <w:sz w:val="24"/>
          <w:highlight w:val="green"/>
        </w:rPr>
        <w:t>{{boiler.burner_type}}</w:t>
      </w:r>
      <w:r>
        <w:rPr>
          <w:rFonts w:ascii="Times New Roman" w:hAnsi="Times New Roman"/>
          <w:b w:val="false"/>
          <w:sz w:val="24"/>
        </w:rPr>
        <w:t xml:space="preserve"> горелкой </w:t>
      </w:r>
      <w:r>
        <w:rPr>
          <w:rFonts w:ascii="Times New Roman" w:hAnsi="Times New Roman"/>
          <w:b w:val="false"/>
          <w:sz w:val="24"/>
          <w:highlight w:val="green"/>
        </w:rPr>
        <w:t>{{boiler.burner_model}}</w:t>
      </w:r>
      <w:r>
        <w:rPr>
          <w:rFonts w:ascii="Times New Roman" w:hAnsi="Times New Roman"/>
          <w:b w:val="false"/>
          <w:sz w:val="24"/>
        </w:rPr>
        <w:t xml:space="preserve"> мощностью </w:t>
      </w:r>
      <w:r>
        <w:rPr>
          <w:rFonts w:ascii="Times New Roman" w:hAnsi="Times New Roman"/>
          <w:b w:val="false"/>
          <w:sz w:val="24"/>
          <w:highlight w:val="green"/>
        </w:rPr>
        <w:t>{{boiler.burner_capacity}}</w:t>
      </w:r>
      <w:r>
        <w:rPr>
          <w:rFonts w:ascii="Times New Roman" w:hAnsi="Times New Roman"/>
          <w:b w:val="false"/>
          <w:sz w:val="24"/>
        </w:rPr>
        <w:t xml:space="preserve"> кВт;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endfor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Для работы котлоагрегатов и системы теплоснабжения в заданных режимах выбраны следующие виды вспомогательного оборудования (возможна замена на аналог):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for pump in pumps.pumps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- </w:t>
      </w:r>
      <w:r>
        <w:rPr>
          <w:rFonts w:ascii="Times New Roman" w:hAnsi="Times New Roman"/>
          <w:b w:val="false"/>
          <w:sz w:val="24"/>
          <w:highlight w:val="green"/>
        </w:rPr>
        <w:t>{{pump.name}}</w:t>
      </w:r>
      <w:r>
        <w:rPr>
          <w:rFonts w:ascii="Times New Roman" w:hAnsi="Times New Roman"/>
          <w:b w:val="false"/>
          <w:sz w:val="24"/>
        </w:rPr>
        <w:t xml:space="preserve">, </w:t>
      </w:r>
      <w:r>
        <w:rPr>
          <w:rFonts w:ascii="Times New Roman" w:hAnsi="Times New Roman"/>
          <w:b w:val="false"/>
          <w:sz w:val="24"/>
          <w:highlight w:val="green"/>
        </w:rPr>
        <w:t>{{pump.model}}</w:t>
      </w:r>
      <w:r>
        <w:rPr>
          <w:rFonts w:ascii="Times New Roman" w:hAnsi="Times New Roman"/>
          <w:b w:val="false"/>
          <w:sz w:val="24"/>
        </w:rPr>
        <w:t xml:space="preserve"> фирмы «</w:t>
      </w:r>
      <w:r>
        <w:rPr>
          <w:rFonts w:ascii="Times New Roman" w:hAnsi="Times New Roman"/>
          <w:b w:val="false"/>
          <w:sz w:val="24"/>
          <w:highlight w:val="green"/>
        </w:rPr>
        <w:t>{{pump.manufacturer}}</w:t>
      </w:r>
      <w:r>
        <w:rPr>
          <w:rFonts w:ascii="Times New Roman" w:hAnsi="Times New Roman"/>
          <w:b w:val="false"/>
          <w:sz w:val="24"/>
        </w:rPr>
        <w:t>», G=</w:t>
      </w:r>
      <w:r>
        <w:rPr>
          <w:rFonts w:ascii="Times New Roman" w:hAnsi="Times New Roman"/>
          <w:b w:val="false"/>
          <w:sz w:val="24"/>
          <w:highlight w:val="green"/>
        </w:rPr>
        <w:t>{{pump.flow_rate}}</w:t>
      </w:r>
      <w:r>
        <w:rPr>
          <w:rFonts w:ascii="Times New Roman" w:hAnsi="Times New Roman"/>
          <w:b w:val="false"/>
          <w:sz w:val="24"/>
        </w:rPr>
        <w:t xml:space="preserve"> м³/ч, Н=</w:t>
      </w:r>
      <w:r>
        <w:rPr>
          <w:rFonts w:ascii="Times New Roman" w:hAnsi="Times New Roman"/>
          <w:b w:val="false"/>
          <w:sz w:val="24"/>
          <w:highlight w:val="green"/>
        </w:rPr>
        <w:t>{{pump.head}}</w:t>
      </w:r>
      <w:r>
        <w:rPr>
          <w:rFonts w:ascii="Times New Roman" w:hAnsi="Times New Roman"/>
          <w:b w:val="false"/>
          <w:sz w:val="24"/>
        </w:rPr>
        <w:t xml:space="preserve"> м в.ст., (</w:t>
      </w:r>
      <w:r>
        <w:rPr>
          <w:rFonts w:ascii="Times New Roman" w:hAnsi="Times New Roman"/>
          <w:b w:val="false"/>
          <w:sz w:val="24"/>
          <w:highlight w:val="green"/>
        </w:rPr>
        <w:t>{{pump.operation_scheme}}</w:t>
      </w:r>
      <w:r>
        <w:rPr>
          <w:rFonts w:ascii="Times New Roman" w:hAnsi="Times New Roman"/>
          <w:b w:val="false"/>
          <w:sz w:val="24"/>
        </w:rPr>
        <w:t>);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endfor %}</w:t>
      </w:r>
    </w:p>
    <w:p>
      <w:pPr>
        <w:pStyle w:val="Normal"/>
        <w:widowControl/>
        <w:spacing w:lineRule="auto" w:line="276" w:before="240" w:after="120"/>
        <w:jc w:val="start"/>
        <w:rPr/>
      </w:pPr>
      <w:r>
        <w:rPr>
          <w:rFonts w:ascii="Times New Roman" w:hAnsi="Times New Roman"/>
          <w:b/>
          <w:sz w:val="24"/>
        </w:rPr>
        <w:t>1.3. Обеспечение объекта проектирования ресурсами</w:t>
      </w:r>
    </w:p>
    <w:p>
      <w:pPr>
        <w:pStyle w:val="Normal"/>
        <w:widowControl/>
        <w:spacing w:lineRule="auto" w:line="276" w:before="240" w:after="120"/>
        <w:jc w:val="start"/>
        <w:rPr/>
      </w:pPr>
      <w:r>
        <w:rPr>
          <w:rFonts w:ascii="Times New Roman" w:hAnsi="Times New Roman"/>
          <w:b/>
          <w:sz w:val="24"/>
        </w:rPr>
        <w:t>1.3.1. Обеспечение топливом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/>
          <w:sz w:val="24"/>
        </w:rPr>
        <w:t>Основное топливо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В соответствии с заданием на проектирование в качестве основного топлива предусмотрен </w:t>
      </w:r>
      <w:r>
        <w:rPr>
          <w:rFonts w:ascii="Times New Roman" w:hAnsi="Times New Roman"/>
          <w:b w:val="false"/>
          <w:sz w:val="24"/>
          <w:highlight w:val="green"/>
        </w:rPr>
        <w:t>{{fuel.primary_fuel}}</w:t>
      </w:r>
      <w:r>
        <w:rPr>
          <w:rFonts w:ascii="Times New Roman" w:hAnsi="Times New Roman"/>
          <w:i/>
          <w:sz w:val="24"/>
        </w:rPr>
        <w:t>{%if fuel.calorific_value %}</w:t>
      </w:r>
      <w:r>
        <w:rPr>
          <w:rFonts w:ascii="Times New Roman" w:hAnsi="Times New Roman"/>
          <w:b w:val="false"/>
          <w:sz w:val="24"/>
        </w:rPr>
        <w:t xml:space="preserve"> (теплотворная способность </w:t>
      </w:r>
      <w:r>
        <w:rPr>
          <w:rFonts w:ascii="Times New Roman" w:hAnsi="Times New Roman"/>
          <w:b w:val="false"/>
          <w:sz w:val="24"/>
          <w:highlight w:val="green"/>
        </w:rPr>
        <w:t>{{fuel.calorific_value}}</w:t>
      </w:r>
      <w:r>
        <w:rPr>
          <w:rFonts w:ascii="Times New Roman" w:hAnsi="Times New Roman"/>
          <w:b w:val="false"/>
          <w:sz w:val="24"/>
        </w:rPr>
        <w:t xml:space="preserve"> ккал/м³, плотность – </w:t>
      </w:r>
      <w:r>
        <w:rPr>
          <w:rFonts w:ascii="Times New Roman" w:hAnsi="Times New Roman"/>
          <w:b w:val="false"/>
          <w:sz w:val="24"/>
          <w:highlight w:val="green"/>
        </w:rPr>
        <w:t>{{fuel.fuel_density}}</w:t>
      </w:r>
      <w:r>
        <w:rPr>
          <w:rFonts w:ascii="Times New Roman" w:hAnsi="Times New Roman"/>
          <w:b w:val="false"/>
          <w:sz w:val="24"/>
        </w:rPr>
        <w:t xml:space="preserve"> кг/м³)</w:t>
      </w:r>
      <w:r>
        <w:rPr>
          <w:rFonts w:ascii="Times New Roman" w:hAnsi="Times New Roman"/>
          <w:i/>
          <w:sz w:val="24"/>
        </w:rPr>
        <w:t>{%endif%}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Часовые и годовые расходы топлива на каждый котел представлены в таблице 1.1.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/>
          <w:sz w:val="24"/>
        </w:rPr>
        <w:t xml:space="preserve">Таблица 1.1. Часовые и годовые расходы основного (газового) топлива </w:t>
      </w:r>
      <w:r>
        <w:rPr>
          <w:rFonts w:ascii="Times New Roman" w:hAnsi="Times New Roman"/>
          <w:b/>
          <w:sz w:val="24"/>
          <w:shd w:fill="4BF357" w:val="clear"/>
        </w:rPr>
        <w:t>{{</w:t>
      </w:r>
      <w:r>
        <w:rPr>
          <w:b/>
          <w:shd w:fill="4BF357" w:val="clear"/>
        </w:rPr>
        <w:t>name_genitive_short</w:t>
      </w:r>
      <w:r>
        <w:rPr>
          <w:rFonts w:ascii="Times New Roman" w:hAnsi="Times New Roman"/>
          <w:b/>
          <w:sz w:val="24"/>
          <w:shd w:fill="4BF357" w:val="clear"/>
        </w:rPr>
        <w:t>}}</w:t>
      </w:r>
    </w:p>
    <w:tbl>
      <w:tblPr>
        <w:tblStyle w:val="Style_2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pacing w:val="0"/>
                <w:kern w:val="0"/>
                <w:sz w:val="20"/>
                <w:szCs w:val="20"/>
              </w:rPr>
              <w:t>Наименование потребителей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pacing w:val="0"/>
                <w:kern w:val="0"/>
                <w:sz w:val="20"/>
                <w:szCs w:val="20"/>
              </w:rPr>
              <w:t>При макс. производительности, м³/ч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pacing w:val="0"/>
                <w:kern w:val="0"/>
                <w:sz w:val="20"/>
                <w:szCs w:val="20"/>
              </w:rPr>
              <w:t>Режим холодного месяца, м³/ч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pacing w:val="0"/>
                <w:kern w:val="0"/>
                <w:sz w:val="20"/>
                <w:szCs w:val="20"/>
              </w:rPr>
              <w:t>При мин. производительности, м³/ч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i/>
                <w:color w:val="000000"/>
                <w:spacing w:val="0"/>
                <w:kern w:val="0"/>
                <w:sz w:val="20"/>
                <w:szCs w:val="20"/>
              </w:rPr>
              <w:t>{%tr for row in fuel.consumption_table %}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color w:val="000000"/>
                <w:spacing w:val="0"/>
                <w:kern w:val="0"/>
                <w:sz w:val="22"/>
                <w:szCs w:val="20"/>
              </w:rPr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color w:val="000000"/>
                <w:spacing w:val="0"/>
                <w:kern w:val="0"/>
                <w:sz w:val="22"/>
                <w:szCs w:val="20"/>
              </w:rPr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color w:val="000000"/>
                <w:spacing w:val="0"/>
                <w:kern w:val="0"/>
                <w:sz w:val="22"/>
                <w:szCs w:val="20"/>
              </w:rPr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 w:val="false"/>
                <w:color w:val="000000"/>
                <w:spacing w:val="0"/>
                <w:kern w:val="0"/>
                <w:sz w:val="20"/>
                <w:szCs w:val="20"/>
                <w:highlight w:val="green"/>
              </w:rPr>
              <w:t>{{row.consumer_name}}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 w:val="false"/>
                <w:color w:val="000000"/>
                <w:spacing w:val="0"/>
                <w:kern w:val="0"/>
                <w:sz w:val="20"/>
                <w:szCs w:val="20"/>
                <w:highlight w:val="green"/>
              </w:rPr>
              <w:t>{{row.max_rate}}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 w:val="false"/>
                <w:color w:val="000000"/>
                <w:spacing w:val="0"/>
                <w:kern w:val="0"/>
                <w:sz w:val="20"/>
                <w:szCs w:val="20"/>
                <w:highlight w:val="green"/>
              </w:rPr>
              <w:t>{{row.cold_month_rate}}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 w:val="false"/>
                <w:color w:val="000000"/>
                <w:spacing w:val="0"/>
                <w:kern w:val="0"/>
                <w:sz w:val="20"/>
                <w:szCs w:val="20"/>
                <w:highlight w:val="green"/>
              </w:rPr>
              <w:t>{{row.min_rate}}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i/>
                <w:color w:val="000000"/>
                <w:spacing w:val="0"/>
                <w:kern w:val="0"/>
                <w:sz w:val="20"/>
                <w:szCs w:val="20"/>
              </w:rPr>
              <w:t>{%tr endfor %}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color w:val="000000"/>
                <w:spacing w:val="0"/>
                <w:kern w:val="0"/>
                <w:sz w:val="22"/>
                <w:szCs w:val="20"/>
              </w:rPr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color w:val="000000"/>
                <w:spacing w:val="0"/>
                <w:kern w:val="0"/>
                <w:sz w:val="22"/>
                <w:szCs w:val="20"/>
              </w:rPr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start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color w:val="000000"/>
                <w:spacing w:val="0"/>
                <w:kern w:val="0"/>
                <w:sz w:val="22"/>
                <w:szCs w:val="20"/>
              </w:rPr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pacing w:val="0"/>
                <w:kern w:val="0"/>
                <w:sz w:val="20"/>
                <w:szCs w:val="20"/>
              </w:rPr>
              <w:t>ИТОГО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 w:val="false"/>
                <w:color w:val="000000"/>
                <w:spacing w:val="0"/>
                <w:kern w:val="0"/>
                <w:sz w:val="20"/>
                <w:szCs w:val="20"/>
                <w:highlight w:val="green"/>
              </w:rPr>
              <w:t>{{fuel.total_max}}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 w:val="false"/>
                <w:color w:val="000000"/>
                <w:spacing w:val="0"/>
                <w:kern w:val="0"/>
                <w:sz w:val="20"/>
                <w:szCs w:val="20"/>
                <w:highlight w:val="green"/>
              </w:rPr>
              <w:t>{{fuel.total_cold_month}}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 w:end="0"/>
              <w:jc w:val="center"/>
              <w:rPr>
                <w:rFonts w:ascii="Cambria" w:hAnsi="Cambria"/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b w:val="false"/>
                <w:color w:val="000000"/>
                <w:spacing w:val="0"/>
                <w:kern w:val="0"/>
                <w:sz w:val="20"/>
                <w:szCs w:val="20"/>
                <w:highlight w:val="green"/>
              </w:rPr>
              <w:t>{{fuel.total_min}}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Годовой расход топлива составляет </w:t>
      </w:r>
      <w:r>
        <w:rPr>
          <w:rFonts w:ascii="Times New Roman" w:hAnsi="Times New Roman"/>
          <w:b w:val="false"/>
          <w:sz w:val="24"/>
          <w:highlight w:val="green"/>
        </w:rPr>
        <w:t>{{fuel.annual_consumption}}</w:t>
      </w:r>
      <w:r>
        <w:rPr>
          <w:rFonts w:ascii="Times New Roman" w:hAnsi="Times New Roman"/>
          <w:b w:val="false"/>
          <w:sz w:val="24"/>
        </w:rPr>
        <w:t xml:space="preserve"> тыс. м³.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if emergency_fuel.has_emergency_fuel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/>
          <w:sz w:val="24"/>
        </w:rPr>
        <w:t>Аварийное топливо</w:t>
      </w:r>
    </w:p>
    <w:p>
      <w:pPr>
        <w:pStyle w:val="Normal"/>
        <w:widowControl/>
        <w:spacing w:lineRule="auto" w:line="276" w:before="0" w:after="120"/>
        <w:jc w:val="both"/>
        <w:rPr>
          <w:rFonts w:ascii="Times New Roman" w:hAnsi="Times New Roman"/>
          <w:color w:val="080808"/>
          <w:sz w:val="24"/>
          <w:shd w:fill="4BF357" w:val="clear"/>
        </w:rPr>
      </w:pP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rFonts w:ascii="Times New Roman" w:hAnsi="Times New Roman"/>
          <w:color w:val="080808"/>
          <w:sz w:val="24"/>
          <w:shd w:fill="4BF357" w:val="clear"/>
        </w:rPr>
        <w:t>emergency_fuel</w:t>
      </w:r>
      <w:r>
        <w:rPr>
          <w:rFonts w:ascii="Times New Roman" w:hAnsi="Times New Roman"/>
          <w:b w:val="false"/>
          <w:sz w:val="24"/>
          <w:shd w:fill="4BF357" w:val="clear"/>
        </w:rPr>
        <w:t>.emergency_fuel_description}}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else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Аварийное и резервное топливо не предусмотрено.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endif %}</w:t>
      </w:r>
    </w:p>
    <w:p>
      <w:pPr>
        <w:pStyle w:val="Normal"/>
        <w:widowControl/>
        <w:spacing w:lineRule="auto" w:line="276" w:before="240" w:after="120"/>
        <w:jc w:val="start"/>
        <w:rPr/>
      </w:pPr>
      <w:r>
        <w:rPr>
          <w:rFonts w:ascii="Times New Roman" w:hAnsi="Times New Roman"/>
          <w:b/>
          <w:sz w:val="24"/>
        </w:rPr>
        <w:t>1.3.2. Электроснабжение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Электроснабжение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предусмотрено </w:t>
      </w:r>
      <w:r>
        <w:rPr>
          <w:rFonts w:ascii="Times New Roman" w:hAnsi="Times New Roman"/>
          <w:b w:val="false"/>
          <w:sz w:val="24"/>
          <w:highlight w:val="green"/>
        </w:rPr>
        <w:t>{{power_supply.source}}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if power_supply.reliability_category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По надежности электроснабжения электроприемники </w:t>
      </w:r>
      <w:r>
        <w:rPr>
          <w:rFonts w:ascii="Times New Roman" w:hAnsi="Times New Roman"/>
          <w:b w:val="false"/>
          <w:sz w:val="24"/>
          <w:highlight w:val="green"/>
        </w:rPr>
        <w:t>{</w:t>
      </w:r>
      <w:r>
        <w:rPr>
          <w:rFonts w:ascii="Times New Roman" w:hAnsi="Times New Roman"/>
          <w:b w:val="false"/>
          <w:sz w:val="24"/>
          <w:shd w:fill="4BF357" w:val="clear"/>
        </w:rPr>
        <w:t>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относятся к </w:t>
      </w:r>
      <w:r>
        <w:rPr>
          <w:rFonts w:ascii="Times New Roman" w:hAnsi="Times New Roman"/>
          <w:b w:val="false"/>
          <w:sz w:val="24"/>
          <w:highlight w:val="green"/>
        </w:rPr>
        <w:t>{{power_supply.reliability_category}}</w:t>
      </w:r>
      <w:r>
        <w:rPr>
          <w:rFonts w:ascii="Times New Roman" w:hAnsi="Times New Roman"/>
          <w:b w:val="false"/>
          <w:sz w:val="24"/>
        </w:rPr>
        <w:t xml:space="preserve"> категории.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if power_supply.has_diesel_generator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В периоды аварийного отключения основного электроснабжения предусматривается использование дизель-генераторной установки </w:t>
      </w:r>
      <w:r>
        <w:rPr>
          <w:rFonts w:ascii="Times New Roman" w:hAnsi="Times New Roman"/>
          <w:b w:val="false"/>
          <w:sz w:val="24"/>
          <w:highlight w:val="green"/>
        </w:rPr>
        <w:t>{{power_supply.diesel_generator_model}}</w:t>
      </w:r>
      <w:r>
        <w:rPr>
          <w:rFonts w:ascii="Times New Roman" w:hAnsi="Times New Roman"/>
          <w:b w:val="false"/>
          <w:sz w:val="24"/>
        </w:rPr>
        <w:t xml:space="preserve"> мощностью </w:t>
      </w:r>
      <w:r>
        <w:rPr>
          <w:rFonts w:ascii="Times New Roman" w:hAnsi="Times New Roman"/>
          <w:b w:val="false"/>
          <w:sz w:val="24"/>
          <w:highlight w:val="green"/>
        </w:rPr>
        <w:t>{{power_supply.diesel_generator_power_kw}}</w:t>
      </w:r>
      <w:r>
        <w:rPr>
          <w:rFonts w:ascii="Times New Roman" w:hAnsi="Times New Roman"/>
          <w:b w:val="false"/>
          <w:sz w:val="24"/>
        </w:rPr>
        <w:t xml:space="preserve"> кВт.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Дизельное топливо для ДГУ хранится в баке, встроенном в раму ДГУ, объемом </w:t>
      </w:r>
      <w:r>
        <w:rPr>
          <w:rFonts w:ascii="Times New Roman" w:hAnsi="Times New Roman"/>
          <w:b w:val="false"/>
          <w:sz w:val="24"/>
          <w:highlight w:val="green"/>
        </w:rPr>
        <w:t>{{power_supply.diesel_tank_volume_l}}</w:t>
      </w:r>
      <w:r>
        <w:rPr>
          <w:rFonts w:ascii="Times New Roman" w:hAnsi="Times New Roman"/>
          <w:b w:val="false"/>
          <w:sz w:val="24"/>
        </w:rPr>
        <w:t xml:space="preserve"> л. Запас топлива обеспечивает работу ДГУ в течение </w:t>
      </w:r>
      <w:r>
        <w:rPr>
          <w:rFonts w:ascii="Times New Roman" w:hAnsi="Times New Roman"/>
          <w:b w:val="false"/>
          <w:sz w:val="24"/>
          <w:highlight w:val="green"/>
        </w:rPr>
        <w:t>{{power_supply.diesel_runtime_hours}}</w:t>
      </w:r>
      <w:r>
        <w:rPr>
          <w:rFonts w:ascii="Times New Roman" w:hAnsi="Times New Roman"/>
          <w:b w:val="false"/>
          <w:sz w:val="24"/>
        </w:rPr>
        <w:t xml:space="preserve"> часов.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endif %}</w:t>
      </w:r>
    </w:p>
    <w:p>
      <w:pPr>
        <w:pStyle w:val="Normal"/>
        <w:widowControl/>
        <w:spacing w:lineRule="auto" w:line="276" w:before="240" w:after="120"/>
        <w:jc w:val="start"/>
        <w:rPr/>
      </w:pPr>
      <w:r>
        <w:rPr>
          <w:rFonts w:ascii="Times New Roman" w:hAnsi="Times New Roman"/>
          <w:b/>
          <w:sz w:val="24"/>
        </w:rPr>
        <w:t>1.3.3. Химводоочистка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С целью достижения нормативного уровня по показателям используемой воды проектными решениями предусмотрена система водоподготовки, состоящая из следующих блоков: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for item in water_treatment.equipment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- </w:t>
      </w:r>
      <w:r>
        <w:rPr>
          <w:rFonts w:ascii="Times New Roman" w:hAnsi="Times New Roman"/>
          <w:b w:val="false"/>
          <w:sz w:val="24"/>
          <w:highlight w:val="green"/>
        </w:rPr>
        <w:t>{{item}}</w:t>
      </w:r>
      <w:r>
        <w:rPr>
          <w:rFonts w:ascii="Times New Roman" w:hAnsi="Times New Roman"/>
          <w:b w:val="false"/>
          <w:sz w:val="24"/>
        </w:rPr>
        <w:t>;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endfor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Оборудование ХВП применяется для снижения жесткости, удаления растворенного кислорода, удаления окисленных соединений железа и коррекции уровня рН воды, применяемой в качестве теплоносителя в системе отопления, а также для подпитки котельных установок.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Хим.водоподготовка не является источником выделения загрязняющих веществ в атмосферный воздух.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Реагент подвозится обслуживающей котельную бригадой периодически, 1 раз в месяц, в соответствии с графиком производства профилактических обслуживающих работ. Бак автоматического дозирования реагентов заправляется добавлением готового раствора бригадой в систему подпитки непосредственно при доставке реагентов 1 раз в месяц. Процесс хим.водоподготовки полностью автоматизирован. Запас реагентов на котельной не хранится.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Отстой автотранспорта при подвозе реагентов осуществляется за пределами промплощадки.</w:t>
      </w:r>
    </w:p>
    <w:p>
      <w:pPr>
        <w:pStyle w:val="Normal"/>
        <w:widowControl/>
        <w:spacing w:lineRule="auto" w:line="276" w:before="240" w:after="120"/>
        <w:jc w:val="start"/>
        <w:rPr/>
      </w:pPr>
      <w:r>
        <w:rPr>
          <w:rFonts w:ascii="Times New Roman" w:hAnsi="Times New Roman"/>
          <w:b/>
          <w:sz w:val="24"/>
        </w:rPr>
        <w:t>1.3.4. Инженерные сети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if utility_networks.gas_supply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{{utility_networks.gas_supply}}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if utility_networks.water_supply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{{utility_networks.water_supply}}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if utility_networks.sewerage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  <w:highlight w:val="green"/>
        </w:rPr>
        <w:t>{{utility_networks.sewerage}}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endif %}</w:t>
      </w:r>
    </w:p>
    <w:p>
      <w:pPr>
        <w:pStyle w:val="Normal"/>
        <w:widowControl/>
        <w:spacing w:lineRule="auto" w:line="276" w:before="240" w:after="120"/>
        <w:jc w:val="start"/>
        <w:rPr/>
      </w:pPr>
      <w:r>
        <w:rPr>
          <w:rFonts w:ascii="Times New Roman" w:hAnsi="Times New Roman"/>
          <w:b/>
          <w:sz w:val="24"/>
        </w:rPr>
        <w:t>1.3.5. Отопление и вентиляция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В здании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проектируется естественная и механическая вентиляция.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/>
          <w:sz w:val="24"/>
        </w:rPr>
        <w:t>Холодный период: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В помещении </w:t>
      </w:r>
      <w:r>
        <w:rPr>
          <w:rFonts w:ascii="Times New Roman" w:hAnsi="Times New Roman"/>
          <w:b w:val="false"/>
          <w:sz w:val="24"/>
          <w:highlight w:val="green"/>
        </w:rPr>
        <w:t>{</w:t>
      </w:r>
      <w:r>
        <w:rPr>
          <w:rFonts w:ascii="Times New Roman" w:hAnsi="Times New Roman"/>
          <w:b w:val="false"/>
          <w:sz w:val="24"/>
          <w:shd w:fill="4BF357" w:val="clear"/>
        </w:rPr>
        <w:t>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в холодный период предусматривается естественная вентиляция в объеме не менее однократного воздухообмена за 1 час. Воздух в помещение </w:t>
      </w: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name_genitive_short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поступает через жалюзийные решетки </w:t>
      </w:r>
      <w:r>
        <w:rPr>
          <w:rFonts w:ascii="Times New Roman" w:hAnsi="Times New Roman"/>
          <w:b w:val="false"/>
          <w:sz w:val="24"/>
          <w:highlight w:val="green"/>
        </w:rPr>
        <w:t>{{ventilation.louver_size}}</w:t>
      </w:r>
      <w:r>
        <w:rPr>
          <w:rFonts w:ascii="Times New Roman" w:hAnsi="Times New Roman"/>
          <w:b w:val="false"/>
          <w:sz w:val="24"/>
        </w:rPr>
        <w:t xml:space="preserve"> (ПЕ1), установленные на высоте более 2,0 м от уровня земли в наружной стене здания. Вытяжка осуществляется через дефлектор (ВЕ1) Ду = </w:t>
      </w:r>
      <w:r>
        <w:rPr>
          <w:rFonts w:ascii="Times New Roman" w:hAnsi="Times New Roman"/>
          <w:b w:val="false"/>
          <w:sz w:val="24"/>
          <w:highlight w:val="green"/>
        </w:rPr>
        <w:t>{{ventilation.deflector_diameter_mm}}</w:t>
      </w:r>
      <w:r>
        <w:rPr>
          <w:rFonts w:ascii="Times New Roman" w:hAnsi="Times New Roman"/>
          <w:b w:val="false"/>
          <w:sz w:val="24"/>
        </w:rPr>
        <w:t xml:space="preserve"> мм – </w:t>
      </w:r>
      <w:r>
        <w:rPr>
          <w:rFonts w:ascii="Times New Roman" w:hAnsi="Times New Roman"/>
          <w:b w:val="false"/>
          <w:sz w:val="24"/>
          <w:highlight w:val="green"/>
        </w:rPr>
        <w:t>{{ventilation.deflector_count}}</w:t>
      </w:r>
      <w:r>
        <w:rPr>
          <w:rFonts w:ascii="Times New Roman" w:hAnsi="Times New Roman"/>
          <w:b w:val="false"/>
          <w:sz w:val="24"/>
        </w:rPr>
        <w:t xml:space="preserve"> шт.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/>
          <w:sz w:val="24"/>
        </w:rPr>
        <w:t>Теплый период: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if ventilation.no_summer_operation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  <w:shd w:fill="4BF357" w:val="clear"/>
        </w:rPr>
        <w:t>{{</w:t>
      </w:r>
      <w:r>
        <w:rPr>
          <w:shd w:fill="4BF357" w:val="clear"/>
        </w:rPr>
        <w:t>name_nominative_short</w:t>
      </w:r>
      <w:r>
        <w:rPr>
          <w:rFonts w:ascii="Times New Roman" w:hAnsi="Times New Roman"/>
          <w:b w:val="false"/>
          <w:sz w:val="24"/>
          <w:shd w:fill="4BF357" w:val="clear"/>
        </w:rPr>
        <w:t>}}</w:t>
      </w:r>
      <w:r>
        <w:rPr>
          <w:rFonts w:ascii="Times New Roman" w:hAnsi="Times New Roman"/>
          <w:b w:val="false"/>
          <w:sz w:val="24"/>
        </w:rPr>
        <w:t xml:space="preserve"> в теплый период не работает.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else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В теплый период воздух подается через жалюзийные решетки </w:t>
      </w:r>
      <w:r>
        <w:rPr>
          <w:rFonts w:ascii="Times New Roman" w:hAnsi="Times New Roman"/>
          <w:b w:val="false"/>
          <w:sz w:val="24"/>
          <w:highlight w:val="green"/>
        </w:rPr>
        <w:t>{{ventilation.louver_size}}</w:t>
      </w:r>
      <w:r>
        <w:rPr>
          <w:rFonts w:ascii="Times New Roman" w:hAnsi="Times New Roman"/>
          <w:b w:val="false"/>
          <w:sz w:val="24"/>
        </w:rPr>
        <w:t xml:space="preserve"> (ПЕ1), установленные на высоте более 2 м от земли. Удаляется воздух дефлектором (ВЕ1) Ду = </w:t>
      </w:r>
      <w:r>
        <w:rPr>
          <w:rFonts w:ascii="Times New Roman" w:hAnsi="Times New Roman"/>
          <w:b w:val="false"/>
          <w:sz w:val="24"/>
          <w:highlight w:val="green"/>
        </w:rPr>
        <w:t>{{ventilation.deflector_diameter_mm}}</w:t>
      </w:r>
      <w:r>
        <w:rPr>
          <w:rFonts w:ascii="Times New Roman" w:hAnsi="Times New Roman"/>
          <w:b w:val="false"/>
          <w:sz w:val="24"/>
        </w:rPr>
        <w:t xml:space="preserve"> мм – </w:t>
      </w:r>
      <w:r>
        <w:rPr>
          <w:rFonts w:ascii="Times New Roman" w:hAnsi="Times New Roman"/>
          <w:b w:val="false"/>
          <w:sz w:val="24"/>
          <w:highlight w:val="green"/>
        </w:rPr>
        <w:t>{{ventilation.deflector_count}}</w:t>
      </w:r>
      <w:r>
        <w:rPr>
          <w:rFonts w:ascii="Times New Roman" w:hAnsi="Times New Roman"/>
          <w:b w:val="false"/>
          <w:sz w:val="24"/>
        </w:rPr>
        <w:t xml:space="preserve"> шт.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if ventilation.has_emergency_ventilation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>Проектом предусматривается аварийный осевой вытяжной вентилятор в котельном зале, включение осуществляется по сигналу «Авария» при срабатывании датчиков загазованности по СН4 и превышения предельно-допустимого содержания СО.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endif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if ventilation.has_heating %}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b w:val="false"/>
          <w:sz w:val="24"/>
        </w:rPr>
        <w:t xml:space="preserve">В помещении котельного зала предусмотрено воздушное отопление, в качестве нагревательных приборов используются </w:t>
      </w:r>
      <w:r>
        <w:rPr>
          <w:rFonts w:ascii="Times New Roman" w:hAnsi="Times New Roman"/>
          <w:b w:val="false"/>
          <w:sz w:val="24"/>
          <w:highlight w:val="green"/>
        </w:rPr>
        <w:t>{{ventilation.heating_equipment}}</w:t>
      </w:r>
      <w:r>
        <w:rPr>
          <w:rFonts w:ascii="Times New Roman" w:hAnsi="Times New Roman"/>
          <w:b w:val="false"/>
          <w:sz w:val="24"/>
        </w:rPr>
        <w:t>.</w:t>
      </w:r>
    </w:p>
    <w:p>
      <w:pPr>
        <w:pStyle w:val="Normal"/>
        <w:widowControl/>
        <w:spacing w:lineRule="auto" w:line="276" w:before="0" w:after="120"/>
        <w:jc w:val="both"/>
        <w:rPr/>
      </w:pPr>
      <w:r>
        <w:rPr>
          <w:rFonts w:ascii="Times New Roman" w:hAnsi="Times New Roman"/>
          <w:i/>
          <w:sz w:val="24"/>
        </w:rPr>
        <w:t>{%p endif %}</w:t>
      </w:r>
    </w:p>
    <w:sectPr>
      <w:type w:val="nextPage"/>
      <w:pgSz w:w="12240" w:h="15840"/>
      <w:pgMar w:left="1417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XO Thames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JetBrains Mono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NSimSun" w:cs="Arial" w:asciiTheme="minorAscii" w:hAnsiTheme="minorHAnsi"/>
        <w:color w:val="000000"/>
        <w:sz w:val="22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0" w:unhideWhenUsed="0" w:qFormat="1"/>
    <w:lsdException w:name="heading 8" w:uiPriority="9" w:semiHidden="0" w:unhideWhenUsed="0" w:qFormat="1"/>
    <w:lsdException w:name="heading 9" w:uiPriority="9" w:semiHidden="0" w:unhideWhenUsed="0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ind w:hanging="0" w:start="0" w:end="0"/>
      <w:jc w:val="start"/>
    </w:pPr>
    <w:rPr>
      <w:rFonts w:ascii="Cambria" w:hAnsi="Cambria" w:eastAsia="NSimSun" w:cs="Arial" w:asciiTheme="minorAscii" w:hAnsiTheme="minorHAnsi"/>
      <w:color w:val="000000"/>
      <w:spacing w:val="0"/>
      <w:kern w:val="0"/>
      <w:sz w:val="22"/>
      <w:szCs w:val="20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widowControl/>
      <w:spacing w:before="480" w:after="0"/>
      <w:outlineLvl w:val="0"/>
    </w:pPr>
    <w:rPr>
      <w:rFonts w:ascii="Calibri" w:hAnsi="Calibri" w:asciiTheme="majorAscii" w:hAnsiTheme="majorHAnsi"/>
      <w:b/>
      <w:color w:themeColor="accent1" w:themeShade="bf" w:val="376092"/>
      <w:sz w:val="28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widowControl/>
      <w:spacing w:before="200" w:after="0"/>
      <w:outlineLvl w:val="1"/>
    </w:pPr>
    <w:rPr>
      <w:rFonts w:ascii="Calibri" w:hAnsi="Calibri" w:asciiTheme="majorAscii" w:hAnsiTheme="majorHAnsi"/>
      <w:b/>
      <w:color w:themeColor="accent1" w:val="4F81BD"/>
      <w:sz w:val="26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widowControl/>
      <w:spacing w:before="200" w:after="0"/>
      <w:outlineLvl w:val="2"/>
    </w:pPr>
    <w:rPr>
      <w:rFonts w:ascii="Calibri" w:hAnsi="Calibri" w:asciiTheme="majorAscii" w:hAnsiTheme="majorHAnsi"/>
      <w:b/>
      <w:color w:themeColor="accent1" w:val="4F81BD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widowControl/>
      <w:spacing w:before="200" w:after="0"/>
      <w:outlineLvl w:val="3"/>
    </w:pPr>
    <w:rPr>
      <w:rFonts w:ascii="Calibri" w:hAnsi="Calibri" w:asciiTheme="majorAscii" w:hAnsiTheme="majorHAnsi"/>
      <w:b/>
      <w:i/>
      <w:color w:themeColor="accent1" w:val="4F81BD"/>
    </w:rPr>
  </w:style>
  <w:style w:type="paragraph" w:styleId="Heading5">
    <w:name w:val="heading 5"/>
    <w:basedOn w:val="Normal"/>
    <w:next w:val="Normal"/>
    <w:uiPriority w:val="9"/>
    <w:qFormat/>
    <w:pPr>
      <w:keepNext w:val="true"/>
      <w:keepLines/>
      <w:widowControl/>
      <w:spacing w:before="200" w:after="0"/>
      <w:outlineLvl w:val="4"/>
    </w:pPr>
    <w:rPr>
      <w:rFonts w:ascii="Calibri" w:hAnsi="Calibri" w:asciiTheme="majorAscii" w:hAnsiTheme="majorHAnsi"/>
      <w:color w:themeColor="accent1" w:themeShade="7f" w:val="244061"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widowControl/>
      <w:spacing w:before="200" w:after="0"/>
      <w:outlineLvl w:val="5"/>
    </w:pPr>
    <w:rPr>
      <w:rFonts w:ascii="Calibri" w:hAnsi="Calibri" w:asciiTheme="majorAscii" w:hAnsiTheme="majorHAnsi"/>
      <w:i/>
      <w:color w:themeColor="accent1" w:themeShade="7f" w:val="244061"/>
    </w:rPr>
  </w:style>
  <w:style w:type="paragraph" w:styleId="Heading7">
    <w:name w:val="heading 7"/>
    <w:basedOn w:val="Normal"/>
    <w:next w:val="Normal"/>
    <w:uiPriority w:val="9"/>
    <w:qFormat/>
    <w:pPr>
      <w:keepNext w:val="true"/>
      <w:keepLines/>
      <w:widowControl/>
      <w:spacing w:before="200" w:after="0"/>
      <w:outlineLvl w:val="6"/>
    </w:pPr>
    <w:rPr>
      <w:rFonts w:ascii="Calibri" w:hAnsi="Calibri" w:asciiTheme="majorAscii" w:hAnsiTheme="majorHAnsi"/>
      <w:i/>
      <w:color w:themeColor="text1" w:themeTint="bf" w:val="404040"/>
    </w:rPr>
  </w:style>
  <w:style w:type="paragraph" w:styleId="Heading8">
    <w:name w:val="heading 8"/>
    <w:basedOn w:val="Normal"/>
    <w:next w:val="Normal"/>
    <w:uiPriority w:val="9"/>
    <w:qFormat/>
    <w:pPr>
      <w:keepNext w:val="true"/>
      <w:keepLines/>
      <w:widowControl/>
      <w:spacing w:before="200" w:after="0"/>
      <w:outlineLvl w:val="7"/>
    </w:pPr>
    <w:rPr>
      <w:rFonts w:ascii="Calibri" w:hAnsi="Calibri" w:asciiTheme="majorAscii" w:hAnsiTheme="majorHAnsi"/>
      <w:color w:themeColor="accent1" w:val="4F81BD"/>
      <w:sz w:val="20"/>
    </w:rPr>
  </w:style>
  <w:style w:type="paragraph" w:styleId="Heading9">
    <w:name w:val="heading 9"/>
    <w:basedOn w:val="Normal"/>
    <w:next w:val="Normal"/>
    <w:uiPriority w:val="9"/>
    <w:qFormat/>
    <w:pPr>
      <w:keepNext w:val="true"/>
      <w:keepLines/>
      <w:widowControl/>
      <w:spacing w:before="200" w:after="0"/>
      <w:outlineLvl w:val="8"/>
    </w:pPr>
    <w:rPr>
      <w:rFonts w:ascii="Calibri" w:hAnsi="Calibri" w:asciiTheme="majorAscii" w:hAnsiTheme="majorHAnsi"/>
      <w:i/>
      <w:color w:themeColor="text1" w:themeTint="bf" w:val="404040"/>
      <w:sz w:val="20"/>
    </w:rPr>
  </w:style>
  <w:style w:type="character" w:styleId="Numbering2">
    <w:name w:val="Numbering 2"/>
    <w:qFormat/>
    <w:rPr/>
  </w:style>
  <w:style w:type="character" w:styleId="Quote">
    <w:name w:val="Quote"/>
    <w:link w:val="Quote1"/>
    <w:qFormat/>
    <w:rPr>
      <w:i/>
      <w:color w:themeColor="text1" w:val="000000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IntenseReference">
    <w:name w:val="Intense Reference"/>
    <w:basedOn w:val="DefaultParagraphFont"/>
    <w:link w:val="IntenseReference1"/>
    <w:qFormat/>
    <w:rPr>
      <w:b/>
      <w:smallCaps/>
      <w:color w:themeColor="accent2" w:val="C0504D"/>
      <w:spacing w:val="5"/>
      <w:u w:val="single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Heading71">
    <w:name w:val="Heading 71"/>
    <w:qFormat/>
    <w:rPr>
      <w:rFonts w:ascii="Calibri" w:hAnsi="Calibri" w:asciiTheme="majorAscii" w:hAnsiTheme="majorHAnsi"/>
      <w:i/>
      <w:color w:themeColor="text1" w:themeTint="bf" w:val="404040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NoSpacing">
    <w:name w:val="No Spacing"/>
    <w:link w:val="NoSpacing1"/>
    <w:qFormat/>
    <w:rPr/>
  </w:style>
  <w:style w:type="character" w:styleId="Emphasis">
    <w:name w:val="Emphasis"/>
    <w:basedOn w:val="DefaultParagraphFont"/>
    <w:qFormat/>
    <w:rPr>
      <w:i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Calibri" w:hAnsi="Calibri" w:asciiTheme="majorAscii" w:hAnsiTheme="majorHAnsi"/>
      <w:b/>
      <w:color w:themeColor="accent1" w:val="4F81BD"/>
    </w:rPr>
  </w:style>
  <w:style w:type="character" w:styleId="ListParagraph">
    <w:name w:val="List Paragraph"/>
    <w:link w:val="ListParagraph1"/>
    <w:qFormat/>
    <w:rPr/>
  </w:style>
  <w:style w:type="character" w:styleId="List2Cont">
    <w:name w:val="List 2 Cont."/>
    <w:qFormat/>
    <w:rPr/>
  </w:style>
  <w:style w:type="character" w:styleId="ContentsHeading">
    <w:name w:val="Contents Heading"/>
    <w:basedOn w:val="Heading11"/>
    <w:qFormat/>
    <w:rPr/>
  </w:style>
  <w:style w:type="character" w:styleId="IntenseQuote">
    <w:name w:val="Intense Quote"/>
    <w:link w:val="IntenseQuote1"/>
    <w:qFormat/>
    <w:rPr>
      <w:b/>
      <w:i/>
      <w:color w:themeColor="accent1" w:val="4F81BD"/>
    </w:rPr>
  </w:style>
  <w:style w:type="character" w:styleId="List3">
    <w:name w:val="List 3"/>
    <w:qFormat/>
    <w:rPr/>
  </w:style>
  <w:style w:type="character" w:styleId="Heading91">
    <w:name w:val="Heading 91"/>
    <w:qFormat/>
    <w:rPr>
      <w:rFonts w:ascii="Calibri" w:hAnsi="Calibri" w:asciiTheme="majorAscii" w:hAnsiTheme="majorHAnsi"/>
      <w:i/>
      <w:color w:themeColor="text1" w:themeTint="bf" w:val="404040"/>
      <w:sz w:val="20"/>
    </w:rPr>
  </w:style>
  <w:style w:type="character" w:styleId="Numbering1">
    <w:name w:val="Numbering 1"/>
    <w:qFormat/>
    <w:rPr/>
  </w:style>
  <w:style w:type="character" w:styleId="List31">
    <w:name w:val="List 31"/>
    <w:link w:val="List32"/>
    <w:qFormat/>
    <w:rPr/>
  </w:style>
  <w:style w:type="character" w:styleId="List3Cont">
    <w:name w:val="List 3 Cont."/>
    <w:qFormat/>
    <w:rPr/>
  </w:style>
  <w:style w:type="character" w:styleId="List1">
    <w:name w:val="List 1"/>
    <w:qFormat/>
    <w:rPr/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BookTitle">
    <w:name w:val="Book Title"/>
    <w:basedOn w:val="DefaultParagraphFont"/>
    <w:link w:val="BookTitle1"/>
    <w:qFormat/>
    <w:rPr>
      <w:b/>
      <w:smallCaps/>
      <w:spacing w:val="5"/>
    </w:rPr>
  </w:style>
  <w:style w:type="character" w:styleId="List2">
    <w:name w:val="List 2"/>
    <w:link w:val="List22"/>
    <w:qFormat/>
    <w:rPr/>
  </w:style>
  <w:style w:type="character" w:styleId="Header1">
    <w:name w:val="Header1"/>
    <w:qFormat/>
    <w:rPr/>
  </w:style>
  <w:style w:type="character" w:styleId="BodyText2">
    <w:name w:val="Body Text 2"/>
    <w:link w:val="BodyText21"/>
    <w:qFormat/>
    <w:rPr/>
  </w:style>
  <w:style w:type="character" w:styleId="Heading51">
    <w:name w:val="Heading 51"/>
    <w:qFormat/>
    <w:rPr>
      <w:rFonts w:ascii="Calibri" w:hAnsi="Calibri" w:asciiTheme="majorAscii" w:hAnsiTheme="majorHAnsi"/>
      <w:color w:themeColor="accent1" w:themeShade="7f" w:val="244061"/>
    </w:rPr>
  </w:style>
  <w:style w:type="character" w:styleId="Numbering3">
    <w:name w:val="Numbering 3"/>
    <w:qFormat/>
    <w:rPr/>
  </w:style>
  <w:style w:type="character" w:styleId="Heading11">
    <w:name w:val="Heading 11"/>
    <w:qFormat/>
    <w:rPr>
      <w:rFonts w:ascii="Calibri" w:hAnsi="Calibri" w:asciiTheme="majorAscii" w:hAnsiTheme="majorHAnsi"/>
      <w:b/>
      <w:color w:themeColor="accent1" w:themeShade="bf" w:val="376092"/>
      <w:sz w:val="28"/>
    </w:rPr>
  </w:style>
  <w:style w:type="character" w:styleId="IntenseEmphasis">
    <w:name w:val="Intense Emphasis"/>
    <w:basedOn w:val="DefaultParagraphFont"/>
    <w:link w:val="IntenseEmphasis1"/>
    <w:qFormat/>
    <w:rPr>
      <w:b/>
      <w:i/>
      <w:color w:themeColor="accent1" w:val="4F81BD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Heading81">
    <w:name w:val="Heading 81"/>
    <w:qFormat/>
    <w:rPr>
      <w:rFonts w:ascii="Calibri" w:hAnsi="Calibri" w:asciiTheme="majorAscii" w:hAnsiTheme="majorHAnsi"/>
      <w:color w:themeColor="accent1" w:val="4F81BD"/>
      <w:sz w:val="20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Strong">
    <w:name w:val="Strong"/>
    <w:basedOn w:val="DefaultParagraphFont"/>
    <w:qFormat/>
    <w:rPr>
      <w:b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DefaultParagraphFont">
    <w:name w:val="Default Paragraph Font"/>
    <w:link w:val="DefaultParagraphFont1"/>
    <w:qFormat/>
    <w:rPr/>
  </w:style>
  <w:style w:type="character" w:styleId="Textbody">
    <w:name w:val="Text body"/>
    <w:qFormat/>
    <w:rPr/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List1Cont">
    <w:name w:val="List 1 Cont."/>
    <w:qFormat/>
    <w:rPr/>
  </w:style>
  <w:style w:type="character" w:styleId="SubtleReference">
    <w:name w:val="Subtle Reference"/>
    <w:basedOn w:val="DefaultParagraphFont"/>
    <w:link w:val="SubtleReference1"/>
    <w:qFormat/>
    <w:rPr>
      <w:smallCaps/>
      <w:color w:themeColor="accent2" w:val="C0504D"/>
      <w:u w:val="single"/>
    </w:rPr>
  </w:style>
  <w:style w:type="character" w:styleId="List11">
    <w:name w:val="List1"/>
    <w:qFormat/>
    <w:rPr/>
  </w:style>
  <w:style w:type="character" w:styleId="SubtleEmphasis">
    <w:name w:val="Subtle Emphasis"/>
    <w:basedOn w:val="DefaultParagraphFont"/>
    <w:link w:val="SubtleEmphasis1"/>
    <w:qFormat/>
    <w:rPr>
      <w:i/>
      <w:color w:themeColor="text1" w:themeTint="7f" w:val="808080"/>
    </w:rPr>
  </w:style>
  <w:style w:type="character" w:styleId="Subtitle1">
    <w:name w:val="Subtitle1"/>
    <w:qFormat/>
    <w:rPr>
      <w:rFonts w:ascii="Calibri" w:hAnsi="Calibri" w:asciiTheme="majorAscii" w:hAnsiTheme="majorHAnsi"/>
      <w:i/>
      <w:color w:themeColor="accent1" w:val="4F81BD"/>
      <w:spacing w:val="15"/>
      <w:sz w:val="24"/>
    </w:rPr>
  </w:style>
  <w:style w:type="character" w:styleId="Title1">
    <w:name w:val="Title1"/>
    <w:qFormat/>
    <w:rPr>
      <w:rFonts w:ascii="Calibri" w:hAnsi="Calibri" w:asciiTheme="majorAscii" w:hAnsiTheme="majorHAnsi"/>
      <w:color w:themeColor="text2" w:themeShade="bf" w:val="17375E"/>
      <w:spacing w:val="5"/>
      <w:sz w:val="52"/>
    </w:rPr>
  </w:style>
  <w:style w:type="character" w:styleId="Heading41">
    <w:name w:val="Heading 41"/>
    <w:qFormat/>
    <w:rPr>
      <w:rFonts w:ascii="Calibri" w:hAnsi="Calibri" w:asciiTheme="majorAscii" w:hAnsiTheme="majorHAnsi"/>
      <w:b/>
      <w:i/>
      <w:color w:themeColor="accent1" w:val="4F81BD"/>
    </w:rPr>
  </w:style>
  <w:style w:type="character" w:styleId="MacroText">
    <w:name w:val="macro"/>
    <w:link w:val="macro1"/>
    <w:qFormat/>
    <w:rPr>
      <w:rFonts w:ascii="Courier" w:hAnsi="Courier"/>
      <w:sz w:val="20"/>
    </w:rPr>
  </w:style>
  <w:style w:type="character" w:styleId="Caption1">
    <w:name w:val="Caption1"/>
    <w:qFormat/>
    <w:rPr>
      <w:b/>
      <w:color w:themeColor="accent1" w:val="4F81BD"/>
      <w:sz w:val="18"/>
    </w:rPr>
  </w:style>
  <w:style w:type="character" w:styleId="Heading21">
    <w:name w:val="Heading 21"/>
    <w:qFormat/>
    <w:rPr>
      <w:rFonts w:ascii="Calibri" w:hAnsi="Calibri" w:asciiTheme="majorAscii" w:hAnsiTheme="majorHAnsi"/>
      <w:b/>
      <w:color w:themeColor="accent1" w:val="4F81BD"/>
      <w:sz w:val="26"/>
    </w:rPr>
  </w:style>
  <w:style w:type="character" w:styleId="List21">
    <w:name w:val="List 21"/>
    <w:qFormat/>
    <w:rPr/>
  </w:style>
  <w:style w:type="character" w:styleId="Footer1">
    <w:name w:val="Footer1"/>
    <w:qFormat/>
    <w:rPr/>
  </w:style>
  <w:style w:type="character" w:styleId="Heading61">
    <w:name w:val="Heading 61"/>
    <w:qFormat/>
    <w:rPr>
      <w:rFonts w:ascii="Calibri" w:hAnsi="Calibri" w:asciiTheme="majorAscii" w:hAnsiTheme="majorHAnsi"/>
      <w:i/>
      <w:color w:themeColor="accent1" w:themeShade="7f" w:val="244061"/>
    </w:rPr>
  </w:style>
  <w:style w:type="character" w:styleId="BodyText3">
    <w:name w:val="Body Text 3"/>
    <w:link w:val="BodyText31"/>
    <w:qFormat/>
    <w:rPr>
      <w:sz w:val="16"/>
    </w:rPr>
  </w:style>
  <w:style w:type="character" w:styleId="FollowedHyperlink">
    <w:name w:val="FollowedHyperlink"/>
    <w:rPr>
      <w:color w:val="800000"/>
      <w:u w:val="single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spacing w:before="0" w:after="120"/>
    </w:pPr>
    <w:rPr/>
  </w:style>
  <w:style w:type="paragraph" w:styleId="List">
    <w:name w:val="List"/>
    <w:basedOn w:val="Normal"/>
    <w:pPr>
      <w:widowControl/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widowControl/>
      <w:spacing w:lineRule="auto" w:line="240"/>
    </w:pPr>
    <w:rPr>
      <w:b/>
      <w:color w:themeColor="accent1" w:val="4F81BD"/>
      <w:sz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ListNumber2">
    <w:name w:val="List Number 2"/>
    <w:basedOn w:val="Normal"/>
    <w:pPr>
      <w:widowControl/>
      <w:numPr>
        <w:ilvl w:val="0"/>
        <w:numId w:val="1"/>
      </w:numPr>
      <w:spacing w:before="0" w:after="200"/>
      <w:contextualSpacing/>
    </w:pPr>
    <w:rPr/>
  </w:style>
  <w:style w:type="paragraph" w:styleId="Quote1">
    <w:name w:val="Quote1"/>
    <w:basedOn w:val="Normal"/>
    <w:next w:val="Normal"/>
    <w:link w:val="Quote"/>
    <w:qFormat/>
    <w:pPr/>
    <w:rPr>
      <w:i/>
      <w:color w:themeColor="text1" w:val="000000"/>
    </w:rPr>
  </w:style>
  <w:style w:type="paragraph" w:styleId="TOC2">
    <w:name w:val="toc 2"/>
    <w:next w:val="Normal"/>
    <w:uiPriority w:val="39"/>
    <w:pPr>
      <w:widowControl/>
      <w:bidi w:val="0"/>
      <w:spacing w:lineRule="auto" w:line="276" w:before="0" w:after="200"/>
      <w:ind w:hanging="0" w:start="200" w:end="0"/>
      <w:jc w:val="star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IntenseReference1">
    <w:name w:val="Intense Reference1"/>
    <w:basedOn w:val="DefaultParagraphFont1"/>
    <w:link w:val="IntenseReference"/>
    <w:qFormat/>
    <w:pPr/>
    <w:rPr>
      <w:b/>
      <w:smallCaps/>
      <w:color w:themeColor="accent2" w:val="C0504D"/>
      <w:spacing w:val="5"/>
      <w:u w:val="single"/>
    </w:rPr>
  </w:style>
  <w:style w:type="paragraph" w:styleId="TOC4">
    <w:name w:val="toc 4"/>
    <w:next w:val="Normal"/>
    <w:uiPriority w:val="39"/>
    <w:pPr>
      <w:widowControl/>
      <w:bidi w:val="0"/>
      <w:spacing w:lineRule="auto" w:line="276" w:before="0" w:after="200"/>
      <w:ind w:hanging="0" w:start="600" w:end="0"/>
      <w:jc w:val="star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bidi w:val="0"/>
      <w:spacing w:lineRule="auto" w:line="276" w:before="0" w:after="200"/>
      <w:ind w:hanging="0" w:start="1000" w:end="0"/>
      <w:jc w:val="star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bidi w:val="0"/>
      <w:spacing w:lineRule="auto" w:line="276" w:before="0" w:after="200"/>
      <w:ind w:hanging="0" w:start="1200" w:end="0"/>
      <w:jc w:val="star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NoSpacing1">
    <w:name w:val="No Spacing1"/>
    <w:link w:val="NoSpacing"/>
    <w:qFormat/>
    <w:pPr>
      <w:widowControl/>
      <w:bidi w:val="0"/>
      <w:spacing w:lineRule="auto" w:line="240" w:before="0" w:after="0"/>
      <w:ind w:hanging="0" w:start="0" w:end="0"/>
      <w:jc w:val="start"/>
    </w:pPr>
    <w:rPr>
      <w:rFonts w:ascii="Cambria" w:hAnsi="Cambria" w:eastAsia="NSimSun" w:cs="Arial" w:asciiTheme="minorAscii" w:hAnsiTheme="minorHAnsi"/>
      <w:color w:val="000000"/>
      <w:spacing w:val="0"/>
      <w:kern w:val="0"/>
      <w:sz w:val="22"/>
      <w:szCs w:val="20"/>
      <w:lang w:val="ru-RU" w:eastAsia="zh-CN" w:bidi="hi-IN"/>
    </w:rPr>
  </w:style>
  <w:style w:type="paragraph" w:styleId="Emphasis1">
    <w:name w:val="Emphasis1"/>
    <w:basedOn w:val="DefaultParagraphFont1"/>
    <w:qFormat/>
    <w:pPr/>
    <w:rPr>
      <w:i/>
    </w:rPr>
  </w:style>
  <w:style w:type="paragraph" w:styleId="Endnote1">
    <w:name w:val="Endnote1"/>
    <w:link w:val="Endnote"/>
    <w:qFormat/>
    <w:pPr>
      <w:widowControl/>
      <w:bidi w:val="0"/>
      <w:spacing w:lineRule="auto" w:line="276" w:before="0" w:after="200"/>
      <w:ind w:firstLine="851" w:start="0" w:end="0"/>
      <w:jc w:val="both"/>
    </w:pPr>
    <w:rPr>
      <w:rFonts w:ascii="XO Thames" w:hAnsi="XO Thames" w:eastAsia="NSimSun" w:cs="Arial"/>
      <w:color w:val="000000"/>
      <w:spacing w:val="0"/>
      <w:kern w:val="0"/>
      <w:sz w:val="22"/>
      <w:szCs w:val="20"/>
      <w:lang w:val="ru-RU" w:eastAsia="zh-CN" w:bidi="hi-IN"/>
    </w:rPr>
  </w:style>
  <w:style w:type="paragraph" w:styleId="ListParagraph1">
    <w:name w:val="List Paragraph1"/>
    <w:basedOn w:val="Normal"/>
    <w:link w:val="ListParagraph"/>
    <w:qFormat/>
    <w:pPr>
      <w:widowControl/>
      <w:spacing w:before="0" w:after="200"/>
      <w:ind w:start="720"/>
      <w:contextualSpacing/>
    </w:pPr>
    <w:rPr/>
  </w:style>
  <w:style w:type="paragraph" w:styleId="ListContinue2">
    <w:name w:val="List Continue 2"/>
    <w:basedOn w:val="Normal"/>
    <w:pPr>
      <w:widowControl/>
      <w:spacing w:before="0" w:after="120"/>
      <w:ind w:start="720"/>
      <w:contextualSpacing/>
    </w:pPr>
    <w:rPr/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qFormat/>
    <w:pPr>
      <w:widowControl/>
      <w:outlineLvl w:val="8"/>
    </w:pPr>
    <w:rPr/>
  </w:style>
  <w:style w:type="paragraph" w:styleId="IntenseQuote1">
    <w:name w:val="Intense Quote1"/>
    <w:basedOn w:val="Normal"/>
    <w:next w:val="Normal"/>
    <w:link w:val="IntenseQuote"/>
    <w:qFormat/>
    <w:pPr>
      <w:widowControl/>
      <w:pBdr>
        <w:bottom w:val="single" w:sz="4" w:space="4" w:color="000000" w:themeColor="accent1"/>
      </w:pBdr>
      <w:spacing w:before="200" w:after="280"/>
      <w:ind w:start="936" w:end="936"/>
    </w:pPr>
    <w:rPr>
      <w:b/>
      <w:i/>
      <w:color w:themeColor="accent1" w:val="4F81BD"/>
    </w:rPr>
  </w:style>
  <w:style w:type="paragraph" w:styleId="ListBullet3">
    <w:name w:val="List Bullet 3"/>
    <w:basedOn w:val="Normal"/>
    <w:pPr>
      <w:widowControl/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pPr>
      <w:widowControl/>
      <w:numPr>
        <w:ilvl w:val="0"/>
        <w:numId w:val="3"/>
      </w:numPr>
      <w:spacing w:before="0" w:after="200"/>
      <w:contextualSpacing/>
    </w:pPr>
    <w:rPr/>
  </w:style>
  <w:style w:type="paragraph" w:styleId="List32">
    <w:name w:val="List 32"/>
    <w:basedOn w:val="Normal"/>
    <w:link w:val="List31"/>
    <w:qFormat/>
    <w:pPr>
      <w:widowControl/>
      <w:spacing w:before="0" w:after="200"/>
      <w:ind w:hanging="360" w:start="1080"/>
      <w:contextualSpacing/>
    </w:pPr>
    <w:rPr/>
  </w:style>
  <w:style w:type="paragraph" w:styleId="ListContinue3">
    <w:name w:val="List Continue 3"/>
    <w:basedOn w:val="Normal"/>
    <w:pPr>
      <w:widowControl/>
      <w:spacing w:before="0" w:after="120"/>
      <w:ind w:start="1080"/>
      <w:contextualSpacing/>
    </w:pPr>
    <w:rPr/>
  </w:style>
  <w:style w:type="paragraph" w:styleId="ListBullet">
    <w:name w:val="List Bullet"/>
    <w:basedOn w:val="Normal"/>
    <w:pPr>
      <w:widowControl/>
      <w:numPr>
        <w:ilvl w:val="0"/>
        <w:numId w:val="4"/>
      </w:numPr>
      <w:spacing w:before="0" w:after="200"/>
      <w:contextualSpacing/>
    </w:pPr>
    <w:rPr/>
  </w:style>
  <w:style w:type="paragraph" w:styleId="TOC3">
    <w:name w:val="toc 3"/>
    <w:next w:val="Normal"/>
    <w:uiPriority w:val="39"/>
    <w:pPr>
      <w:widowControl/>
      <w:bidi w:val="0"/>
      <w:spacing w:lineRule="auto" w:line="276" w:before="0" w:after="200"/>
      <w:ind w:hanging="0" w:start="400" w:end="0"/>
      <w:jc w:val="star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BookTitle1">
    <w:name w:val="Book Title1"/>
    <w:basedOn w:val="DefaultParagraphFont1"/>
    <w:link w:val="BookTitle"/>
    <w:qFormat/>
    <w:pPr/>
    <w:rPr>
      <w:b/>
      <w:smallCaps/>
      <w:spacing w:val="5"/>
    </w:rPr>
  </w:style>
  <w:style w:type="paragraph" w:styleId="List22">
    <w:name w:val="List 22"/>
    <w:basedOn w:val="Normal"/>
    <w:link w:val="List2"/>
    <w:qFormat/>
    <w:pPr>
      <w:widowControl/>
      <w:spacing w:before="0" w:after="200"/>
      <w:ind w:hanging="360" w:start="720"/>
      <w:contextualSpacing/>
    </w:pPr>
    <w:rPr/>
  </w:style>
  <w:style w:type="paragraph" w:styleId="Style7">
    <w:name w:val="Колонтитулы"/>
    <w:qFormat/>
    <w:pPr>
      <w:widowControl/>
      <w:bidi w:val="0"/>
      <w:spacing w:lineRule="auto" w:line="240" w:before="0" w:after="200"/>
      <w:ind w:hanging="0" w:start="0" w:end="0"/>
      <w:jc w:val="both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Header">
    <w:name w:val="header"/>
    <w:basedOn w:val="Normal"/>
    <w:pPr>
      <w:widowControl/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odyText21">
    <w:name w:val="Body Text 21"/>
    <w:basedOn w:val="Normal"/>
    <w:link w:val="BodyText2"/>
    <w:qFormat/>
    <w:pPr>
      <w:widowControl/>
      <w:spacing w:lineRule="auto" w:line="480" w:before="0" w:after="120"/>
    </w:pPr>
    <w:rPr/>
  </w:style>
  <w:style w:type="paragraph" w:styleId="ListNumber3">
    <w:name w:val="List Number 3"/>
    <w:basedOn w:val="Normal"/>
    <w:pPr>
      <w:widowControl/>
      <w:numPr>
        <w:ilvl w:val="0"/>
        <w:numId w:val="5"/>
      </w:numPr>
      <w:spacing w:before="0" w:after="200"/>
      <w:contextualSpacing/>
    </w:pPr>
    <w:rPr/>
  </w:style>
  <w:style w:type="paragraph" w:styleId="IntenseEmphasis1">
    <w:name w:val="Intense Emphasis1"/>
    <w:basedOn w:val="DefaultParagraphFont1"/>
    <w:link w:val="IntenseEmphasis"/>
    <w:qFormat/>
    <w:pPr/>
    <w:rPr>
      <w:b/>
      <w:i/>
      <w:color w:themeColor="accent1" w:val="4F81BD"/>
    </w:rPr>
  </w:style>
  <w:style w:type="paragraph" w:styleId="Internetlink">
    <w:name w:val="Internet link"/>
    <w:qFormat/>
    <w:pPr>
      <w:widowControl/>
      <w:bidi w:val="0"/>
      <w:spacing w:lineRule="auto" w:line="276" w:before="0" w:after="200"/>
      <w:ind w:hanging="0" w:start="0" w:end="0"/>
      <w:jc w:val="start"/>
    </w:pPr>
    <w:rPr>
      <w:rFonts w:ascii="Cambria" w:hAnsi="Cambria" w:eastAsia="NSimSun" w:cs="Arial"/>
      <w:color w:val="0000FF"/>
      <w:spacing w:val="0"/>
      <w:kern w:val="0"/>
      <w:sz w:val="22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bidi w:val="0"/>
      <w:spacing w:lineRule="auto" w:line="276" w:before="0" w:after="200"/>
      <w:ind w:firstLine="851" w:start="0" w:end="0"/>
      <w:jc w:val="both"/>
    </w:pPr>
    <w:rPr>
      <w:rFonts w:ascii="XO Thames" w:hAnsi="XO Thames" w:eastAsia="NSimSun" w:cs="Arial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bidi w:val="0"/>
      <w:spacing w:lineRule="auto" w:line="276" w:before="0" w:after="200"/>
      <w:ind w:hanging="0" w:start="0" w:end="0"/>
      <w:jc w:val="start"/>
    </w:pPr>
    <w:rPr>
      <w:rFonts w:ascii="XO Thames" w:hAnsi="XO Thames" w:eastAsia="NSimSun" w:cs="Arial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bidi w:val="0"/>
      <w:spacing w:lineRule="auto" w:line="276" w:before="0" w:after="200"/>
      <w:ind w:hanging="0" w:start="1600" w:end="0"/>
      <w:jc w:val="star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StrongEmphasis">
    <w:name w:val="Strong Emphasis"/>
    <w:basedOn w:val="DefaultParagraphFont1"/>
    <w:qFormat/>
    <w:pPr/>
    <w:rPr>
      <w:b/>
    </w:rPr>
  </w:style>
  <w:style w:type="paragraph" w:styleId="TOC8">
    <w:name w:val="toc 8"/>
    <w:next w:val="Normal"/>
    <w:uiPriority w:val="39"/>
    <w:pPr>
      <w:widowControl/>
      <w:bidi w:val="0"/>
      <w:spacing w:lineRule="auto" w:line="276" w:before="0" w:after="200"/>
      <w:ind w:hanging="0" w:start="1400" w:end="0"/>
      <w:jc w:val="star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DefaultParagraphFont1">
    <w:name w:val="Default Paragraph Font1"/>
    <w:link w:val="DefaultParagraphFont"/>
    <w:qFormat/>
    <w:pPr>
      <w:widowControl/>
      <w:bidi w:val="0"/>
      <w:spacing w:lineRule="auto" w:line="276" w:before="0" w:after="200"/>
      <w:ind w:hanging="0" w:start="0" w:end="0"/>
      <w:jc w:val="start"/>
    </w:pPr>
    <w:rPr>
      <w:rFonts w:ascii="Cambria" w:hAnsi="Cambria" w:eastAsia="NSimSun" w:cs="Arial" w:asciiTheme="minorAscii" w:hAnsiTheme="minorHAnsi"/>
      <w:color w:val="000000"/>
      <w:spacing w:val="0"/>
      <w:kern w:val="0"/>
      <w:sz w:val="22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bidi w:val="0"/>
      <w:spacing w:lineRule="auto" w:line="276" w:before="0" w:after="200"/>
      <w:ind w:hanging="0" w:start="800" w:end="0"/>
      <w:jc w:val="star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ListContinue">
    <w:name w:val="List Continue"/>
    <w:basedOn w:val="Normal"/>
    <w:pPr>
      <w:widowControl/>
      <w:spacing w:before="0" w:after="120"/>
      <w:ind w:start="360"/>
      <w:contextualSpacing/>
    </w:pPr>
    <w:rPr/>
  </w:style>
  <w:style w:type="paragraph" w:styleId="SubtleReference1">
    <w:name w:val="Subtle Reference1"/>
    <w:basedOn w:val="DefaultParagraphFont1"/>
    <w:link w:val="SubtleReference"/>
    <w:qFormat/>
    <w:pPr/>
    <w:rPr>
      <w:smallCaps/>
      <w:color w:themeColor="accent2" w:val="C0504D"/>
      <w:u w:val="single"/>
    </w:rPr>
  </w:style>
  <w:style w:type="paragraph" w:styleId="SubtleEmphasis1">
    <w:name w:val="Subtle Emphasis1"/>
    <w:basedOn w:val="DefaultParagraphFont1"/>
    <w:link w:val="SubtleEmphasis"/>
    <w:qFormat/>
    <w:pPr/>
    <w:rPr>
      <w:i/>
      <w:color w:themeColor="text1" w:themeTint="7f" w:val="808080"/>
    </w:rPr>
  </w:style>
  <w:style w:type="paragraph" w:styleId="Subtitle">
    <w:name w:val="Subtitle"/>
    <w:basedOn w:val="Normal"/>
    <w:next w:val="Normal"/>
    <w:uiPriority w:val="11"/>
    <w:qFormat/>
    <w:pPr/>
    <w:rPr>
      <w:rFonts w:ascii="Calibri" w:hAnsi="Calibri" w:asciiTheme="majorAscii" w:hAnsiTheme="majorHAnsi"/>
      <w:i/>
      <w:color w:themeColor="accent1" w:val="4F81BD"/>
      <w:spacing w:val="15"/>
      <w:sz w:val="24"/>
    </w:rPr>
  </w:style>
  <w:style w:type="paragraph" w:styleId="Title">
    <w:name w:val="Title"/>
    <w:basedOn w:val="Normal"/>
    <w:next w:val="Normal"/>
    <w:uiPriority w:val="10"/>
    <w:qFormat/>
    <w:pPr>
      <w:widowControl/>
      <w:pBdr>
        <w:bottom w:val="single" w:sz="8" w:space="4" w:color="000000" w:themeColor="accent1"/>
      </w:pBdr>
      <w:spacing w:lineRule="auto" w:line="240" w:before="0" w:after="300"/>
      <w:contextualSpacing/>
    </w:pPr>
    <w:rPr>
      <w:rFonts w:ascii="Calibri" w:hAnsi="Calibri" w:asciiTheme="majorAscii" w:hAnsiTheme="majorHAnsi"/>
      <w:color w:themeColor="text2" w:themeShade="bf" w:val="17375E"/>
      <w:spacing w:val="5"/>
      <w:sz w:val="52"/>
    </w:rPr>
  </w:style>
  <w:style w:type="paragraph" w:styleId="macro1">
    <w:name w:val="macro1"/>
    <w:link w:val="MacroText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ind w:hanging="0" w:start="0" w:end="0"/>
      <w:jc w:val="start"/>
    </w:pPr>
    <w:rPr>
      <w:rFonts w:ascii="Courier" w:hAnsi="Courier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ListBullet2">
    <w:name w:val="List Bullet 2"/>
    <w:basedOn w:val="Normal"/>
    <w:pPr>
      <w:widowControl/>
      <w:numPr>
        <w:ilvl w:val="0"/>
        <w:numId w:val="6"/>
      </w:numPr>
      <w:spacing w:before="0" w:after="200"/>
      <w:contextualSpacing/>
    </w:pPr>
    <w:rPr/>
  </w:style>
  <w:style w:type="paragraph" w:styleId="Footer">
    <w:name w:val="footer"/>
    <w:basedOn w:val="Normal"/>
    <w:pPr>
      <w:widowControl/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odyText31">
    <w:name w:val="Body Text 31"/>
    <w:basedOn w:val="Normal"/>
    <w:link w:val="BodyText3"/>
    <w:qFormat/>
    <w:pPr>
      <w:widowControl/>
      <w:spacing w:before="0" w:after="120"/>
    </w:pPr>
    <w:rPr>
      <w:sz w:val="16"/>
    </w:rPr>
  </w:style>
  <w:style w:type="table" w:styleId="Style_59">
    <w:name w:val="Medium Grid 1 Accent 5"/>
    <w:basedOn w:val="Style_60"/>
    <w:pPr>
      <w:spacing w:after="0" w:line="240" w:lineRule="auto"/>
    </w:pPr>
    <w:tblPr>
      <w:tblBorders>
        <w:top w:val="single" w:themeColor="accent5" w:themeTint="bf" w:sz="8"/>
        <w:left w:val="single" w:themeColor="accent5" w:themeTint="bf" w:sz="8"/>
        <w:bottom w:val="single" w:themeColor="accent5" w:themeTint="bf" w:sz="8"/>
        <w:right w:val="single" w:themeColor="accent5" w:themeTint="bf" w:sz="8"/>
        <w:insideH w:val="single" w:themeColor="accent5" w:themeTint="bf" w:sz="8"/>
        <w:insideV w:val="single" w:themeColor="accent5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1">
    <w:name w:val="Light Shading Accent 3"/>
    <w:basedOn w:val="Style_60"/>
    <w:pPr>
      <w:spacing w:after="0" w:line="240" w:lineRule="auto"/>
    </w:pPr>
    <w:rPr>
      <w:color w:val="76933c" w:themeColor="accent3" w:themeShade="bf"/>
    </w:rPr>
    <w:tblPr>
      <w:tblBorders>
        <w:top w:val="single" w:themeColor="accent3" w:sz="8"/>
        <w:bottom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2">
    <w:name w:val="Colorful List Accent 1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63">
    <w:name w:val="Medium List 1 Accent 4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4" w:sz="8"/>
        <w:bottom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4">
    <w:name w:val="Medium List 1 Accent 1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1" w:sz="8"/>
        <w:bottom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5">
    <w:name w:val="Light Shading Accent 5"/>
    <w:basedOn w:val="Style_60"/>
    <w:pPr>
      <w:spacing w:after="0" w:line="240" w:lineRule="auto"/>
    </w:pPr>
    <w:rPr>
      <w:color w:val="31859b" w:themeColor="accent5" w:themeShade="bf"/>
    </w:rPr>
    <w:tblPr>
      <w:tblBorders>
        <w:top w:val="single" w:themeColor="accent5" w:sz="8"/>
        <w:bottom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6">
    <w:name w:val="Medium Grid 2 Accent 3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3" w:sz="8"/>
        <w:left w:val="single" w:themeColor="accent3" w:sz="8"/>
        <w:bottom w:val="single" w:themeColor="accent3" w:sz="8"/>
        <w:right w:val="single" w:themeColor="accent3" w:sz="8"/>
        <w:insideH w:val="single" w:themeColor="accent3" w:sz="8"/>
        <w:insideV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7">
    <w:name w:val="Light Grid Accent 6"/>
    <w:basedOn w:val="Style_60"/>
    <w:pPr>
      <w:spacing w:after="0" w:line="240" w:lineRule="auto"/>
    </w:pPr>
    <w:tblPr>
      <w:tblBorders>
        <w:top w:val="single" w:themeColor="accent6" w:sz="8"/>
        <w:left w:val="single" w:themeColor="accent6" w:sz="8"/>
        <w:bottom w:val="single" w:themeColor="accent6" w:sz="8"/>
        <w:right w:val="single" w:themeColor="accent6" w:sz="8"/>
        <w:insideH w:val="single" w:themeColor="accent6" w:sz="8"/>
        <w:insideV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8">
    <w:name w:val="Medium List 2 Accent 4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4" w:sz="8"/>
        <w:left w:val="single" w:themeColor="accent4" w:sz="8"/>
        <w:bottom w:val="single" w:themeColor="accent4" w:sz="8"/>
        <w:right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9">
    <w:name w:val="Colorful Shading Accent 1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2" w:sz="24"/>
        <w:left w:val="single" w:themeColor="accent1" w:sz="4"/>
        <w:bottom w:val="single" w:themeColor="accent1" w:sz="4"/>
        <w:right w:val="single" w:themeColor="accent1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0">
    <w:name w:val="Medium List 2 Accent 3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3" w:sz="8"/>
        <w:left w:val="single" w:themeColor="accent3" w:sz="8"/>
        <w:bottom w:val="single" w:themeColor="accent3" w:sz="8"/>
        <w:right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1">
    <w:name w:val="Medium Grid 1 Accent 4"/>
    <w:basedOn w:val="Style_60"/>
    <w:pPr>
      <w:spacing w:after="0" w:line="240" w:lineRule="auto"/>
    </w:pPr>
    <w:tblPr>
      <w:tblBorders>
        <w:top w:val="single" w:themeColor="accent4" w:themeTint="bf" w:sz="8"/>
        <w:left w:val="single" w:themeColor="accent4" w:themeTint="bf" w:sz="8"/>
        <w:bottom w:val="single" w:themeColor="accent4" w:themeTint="bf" w:sz="8"/>
        <w:right w:val="single" w:themeColor="accent4" w:themeTint="bf" w:sz="8"/>
        <w:insideH w:val="single" w:themeColor="accent4" w:themeTint="bf" w:sz="8"/>
        <w:insideV w:val="single" w:themeColor="accent4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2">
    <w:name w:val="Medium Shading 1 Accent 4"/>
    <w:basedOn w:val="Style_60"/>
    <w:pPr>
      <w:spacing w:after="0" w:line="240" w:lineRule="auto"/>
    </w:pPr>
    <w:tblPr>
      <w:tblBorders>
        <w:top w:val="single" w:themeColor="accent4" w:themeTint="bf" w:sz="8"/>
        <w:left w:val="single" w:themeColor="accent4" w:themeTint="bf" w:sz="8"/>
        <w:bottom w:val="single" w:themeColor="accent4" w:themeTint="bf" w:sz="8"/>
        <w:right w:val="single" w:themeColor="accent4" w:themeTint="bf" w:sz="8"/>
        <w:insideH w:val="single" w:themeColor="accent4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3">
    <w:name w:val="Medium Shading 1 Accent 1"/>
    <w:basedOn w:val="Style_60"/>
    <w:pPr>
      <w:spacing w:after="0" w:line="240" w:lineRule="auto"/>
    </w:pPr>
    <w:tblPr>
      <w:tblBorders>
        <w:top w:val="single" w:themeColor="accent1" w:themeTint="bf" w:sz="8"/>
        <w:left w:val="single" w:themeColor="accent1" w:themeTint="bf" w:sz="8"/>
        <w:bottom w:val="single" w:themeColor="accent1" w:themeTint="bf" w:sz="8"/>
        <w:right w:val="single" w:themeColor="accent1" w:themeTint="bf" w:sz="8"/>
        <w:insideH w:val="single" w:themeColor="accent1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4">
    <w:name w:val="Colorful Grid Accent 4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5">
    <w:name w:val="Medium Grid 2 Accent 5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5" w:sz="8"/>
        <w:left w:val="single" w:themeColor="accent5" w:sz="8"/>
        <w:bottom w:val="single" w:themeColor="accent5" w:sz="8"/>
        <w:right w:val="single" w:themeColor="accent5" w:sz="8"/>
        <w:insideH w:val="single" w:themeColor="accent5" w:sz="8"/>
        <w:insideV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6">
    <w:name w:val="Colorful Shading Accent 6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5" w:sz="24"/>
        <w:left w:val="single" w:themeColor="accent6" w:sz="4"/>
        <w:bottom w:val="single" w:themeColor="accent6" w:sz="4"/>
        <w:right w:val="single" w:themeColor="accent6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7">
    <w:name w:val="Colorful List Accent 2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78">
    <w:name w:val="Light List"/>
    <w:basedOn w:val="Style_60"/>
    <w:pPr>
      <w:spacing w:after="0" w:line="240" w:lineRule="auto"/>
    </w:pPr>
    <w:tblPr>
      <w:tblBorders>
        <w:top w:val="single" w:themeColor="text1" w:sz="8"/>
        <w:left w:val="single" w:themeColor="text1" w:sz="8"/>
        <w:bottom w:val="single" w:themeColor="text1" w:sz="8"/>
        <w:right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9">
    <w:name w:val="Medium Shading 2 Accent 2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0">
    <w:name w:val="Colorful Grid Accent 6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1">
    <w:name w:val="Medium Grid 2 Accent 1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1" w:sz="8"/>
        <w:left w:val="single" w:themeColor="accent1" w:sz="8"/>
        <w:bottom w:val="single" w:themeColor="accent1" w:sz="8"/>
        <w:right w:val="single" w:themeColor="accent1" w:sz="8"/>
        <w:insideH w:val="single" w:themeColor="accent1" w:sz="8"/>
        <w:insideV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2">
    <w:name w:val="Medium List 1 Accent 2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2" w:sz="8"/>
        <w:bottom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3">
    <w:name w:val="Medium Grid 2 Accent 4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4" w:sz="8"/>
        <w:left w:val="single" w:themeColor="accent4" w:sz="8"/>
        <w:bottom w:val="single" w:themeColor="accent4" w:sz="8"/>
        <w:right w:val="single" w:themeColor="accent4" w:sz="8"/>
        <w:insideH w:val="single" w:themeColor="accent4" w:sz="8"/>
        <w:insideV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4">
    <w:name w:val="Light List Accent 1"/>
    <w:basedOn w:val="Style_60"/>
    <w:pPr>
      <w:spacing w:after="0" w:line="240" w:lineRule="auto"/>
    </w:pPr>
    <w:tblPr>
      <w:tblBorders>
        <w:top w:val="single" w:themeColor="accent1" w:sz="8"/>
        <w:left w:val="single" w:themeColor="accent1" w:sz="8"/>
        <w:bottom w:val="single" w:themeColor="accent1" w:sz="8"/>
        <w:right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5">
    <w:name w:val="Medium Shading 1"/>
    <w:basedOn w:val="Style_60"/>
    <w:pPr>
      <w:spacing w:after="0" w:line="240" w:lineRule="auto"/>
    </w:pPr>
    <w:tblPr>
      <w:tblBorders>
        <w:top w:val="single" w:themeColor="text1" w:themeTint="bf" w:sz="8"/>
        <w:left w:val="single" w:themeColor="text1" w:themeTint="bf" w:sz="8"/>
        <w:bottom w:val="single" w:themeColor="text1" w:themeTint="bf" w:sz="8"/>
        <w:right w:val="single" w:themeColor="text1" w:themeTint="bf" w:sz="8"/>
        <w:insideH w:val="single" w:themeColor="text1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6">
    <w:name w:val="Colorful Grid Accent 2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7">
    <w:name w:val="Medium List 2 Accent 5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5" w:sz="8"/>
        <w:left w:val="single" w:themeColor="accent5" w:sz="8"/>
        <w:bottom w:val="single" w:themeColor="accent5" w:sz="8"/>
        <w:right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8">
    <w:name w:val="Medium Shading 2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9">
    <w:name w:val="Medium Grid 2 Accent 2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2" w:sz="8"/>
        <w:left w:val="single" w:themeColor="accent2" w:sz="8"/>
        <w:bottom w:val="single" w:themeColor="accent2" w:sz="8"/>
        <w:right w:val="single" w:themeColor="accent2" w:sz="8"/>
        <w:insideH w:val="single" w:themeColor="accent2" w:sz="8"/>
        <w:insideV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0">
    <w:name w:val="Colorful List Accent 4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91">
    <w:name w:val="Medium List 2 Accent 1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1" w:sz="8"/>
        <w:left w:val="single" w:themeColor="accent1" w:sz="8"/>
        <w:bottom w:val="single" w:themeColor="accent1" w:sz="8"/>
        <w:right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2">
    <w:name w:val="Medium Grid 3 Accent 6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3">
    <w:name w:val="Medium List 2 Accent 2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2" w:sz="8"/>
        <w:left w:val="single" w:themeColor="accent2" w:sz="8"/>
        <w:bottom w:val="single" w:themeColor="accent2" w:sz="8"/>
        <w:right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4">
    <w:name w:val="Medium Grid 1 Accent 2"/>
    <w:basedOn w:val="Style_60"/>
    <w:pPr>
      <w:spacing w:after="0" w:line="240" w:lineRule="auto"/>
    </w:pPr>
    <w:tblPr>
      <w:tblBorders>
        <w:top w:val="single" w:themeColor="accent2" w:themeTint="bf" w:sz="8"/>
        <w:left w:val="single" w:themeColor="accent2" w:themeTint="bf" w:sz="8"/>
        <w:bottom w:val="single" w:themeColor="accent2" w:themeTint="bf" w:sz="8"/>
        <w:right w:val="single" w:themeColor="accent2" w:themeTint="bf" w:sz="8"/>
        <w:insideH w:val="single" w:themeColor="accent2" w:themeTint="bf" w:sz="8"/>
        <w:insideV w:val="single" w:themeColor="accent2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5">
    <w:name w:val="Dark List Accent 4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96">
    <w:name w:val="Light Grid Accent 2"/>
    <w:basedOn w:val="Style_60"/>
    <w:pPr>
      <w:spacing w:after="0" w:line="240" w:lineRule="auto"/>
    </w:pPr>
    <w:tblPr>
      <w:tblBorders>
        <w:top w:val="single" w:themeColor="accent2" w:sz="8"/>
        <w:left w:val="single" w:themeColor="accent2" w:sz="8"/>
        <w:bottom w:val="single" w:themeColor="accent2" w:sz="8"/>
        <w:right w:val="single" w:themeColor="accent2" w:sz="8"/>
        <w:insideH w:val="single" w:themeColor="accent2" w:sz="8"/>
        <w:insideV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7">
    <w:name w:val="Medium Grid 1 Accent 3"/>
    <w:basedOn w:val="Style_60"/>
    <w:pPr>
      <w:spacing w:after="0" w:line="240" w:lineRule="auto"/>
    </w:pPr>
    <w:tblPr>
      <w:tblBorders>
        <w:top w:val="single" w:themeColor="accent3" w:themeTint="bf" w:sz="8"/>
        <w:left w:val="single" w:themeColor="accent3" w:themeTint="bf" w:sz="8"/>
        <w:bottom w:val="single" w:themeColor="accent3" w:themeTint="bf" w:sz="8"/>
        <w:right w:val="single" w:themeColor="accent3" w:themeTint="bf" w:sz="8"/>
        <w:insideH w:val="single" w:themeColor="accent3" w:themeTint="bf" w:sz="8"/>
        <w:insideV w:val="single" w:themeColor="accent3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2">
    <w:name w:val="Table Grid"/>
    <w:basedOn w:val="Style_60"/>
    <w:pPr>
      <w:spacing w:after="0" w:line="240" w:lineRule="auto"/>
    </w:pPr>
    <w:tblPr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000000" w:sz="4"/>
        <w:insideV w:val="single" w:color="00000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8">
    <w:name w:val="Light Shading Accent 2"/>
    <w:basedOn w:val="Style_60"/>
    <w:pPr>
      <w:spacing w:after="0" w:line="240" w:lineRule="auto"/>
    </w:pPr>
    <w:rPr>
      <w:color w:val="953735" w:themeColor="accent2" w:themeShade="bf"/>
    </w:rPr>
    <w:tblPr>
      <w:tblBorders>
        <w:top w:val="single" w:themeColor="accent2" w:sz="8"/>
        <w:bottom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9">
    <w:name w:val="Medium List 1 Accent 3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3" w:sz="8"/>
        <w:bottom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0">
    <w:name w:val="Medium Shading 2 Accent 6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1">
    <w:name w:val="Light Grid Accent 4"/>
    <w:basedOn w:val="Style_60"/>
    <w:pPr>
      <w:spacing w:after="0" w:line="240" w:lineRule="auto"/>
    </w:pPr>
    <w:tblPr>
      <w:tblBorders>
        <w:top w:val="single" w:themeColor="accent4" w:sz="8"/>
        <w:left w:val="single" w:themeColor="accent4" w:sz="8"/>
        <w:bottom w:val="single" w:themeColor="accent4" w:sz="8"/>
        <w:right w:val="single" w:themeColor="accent4" w:sz="8"/>
        <w:insideH w:val="single" w:themeColor="accent4" w:sz="8"/>
        <w:insideV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2">
    <w:name w:val="Medium Shading 2 Accent 3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3">
    <w:name w:val="Medium Shading 2 Accent 5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4">
    <w:name w:val="Dark List Accent 5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5">
    <w:name w:val="Colorful Grid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6">
    <w:name w:val="Colorful Shading Accent 3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4" w:sz="24"/>
        <w:left w:val="single" w:themeColor="accent3" w:sz="4"/>
        <w:bottom w:val="single" w:themeColor="accent3" w:sz="4"/>
        <w:right w:val="single" w:themeColor="accent3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7">
    <w:name w:val="Light Grid"/>
    <w:basedOn w:val="Style_60"/>
    <w:pPr>
      <w:spacing w:after="0" w:line="240" w:lineRule="auto"/>
    </w:pPr>
    <w:tblPr>
      <w:tblBorders>
        <w:top w:val="single" w:themeColor="text1" w:sz="8"/>
        <w:left w:val="single" w:themeColor="text1" w:sz="8"/>
        <w:bottom w:val="single" w:themeColor="text1" w:sz="8"/>
        <w:right w:val="single" w:themeColor="text1" w:sz="8"/>
        <w:insideH w:val="single" w:themeColor="text1" w:sz="8"/>
        <w:insideV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8">
    <w:name w:val="Colorful Shading Accent 5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6" w:sz="24"/>
        <w:left w:val="single" w:themeColor="accent5" w:sz="4"/>
        <w:bottom w:val="single" w:themeColor="accent5" w:sz="4"/>
        <w:right w:val="single" w:themeColor="accent5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9">
    <w:name w:val="Medium Grid 3 Accent 4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0">
    <w:name w:val="Colorful List Accent 5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1">
    <w:name w:val="Medium Shading 1 Accent 3"/>
    <w:basedOn w:val="Style_60"/>
    <w:pPr>
      <w:spacing w:after="0" w:line="240" w:lineRule="auto"/>
    </w:pPr>
    <w:tblPr>
      <w:tblBorders>
        <w:top w:val="single" w:themeColor="accent3" w:themeTint="bf" w:sz="8"/>
        <w:left w:val="single" w:themeColor="accent3" w:themeTint="bf" w:sz="8"/>
        <w:bottom w:val="single" w:themeColor="accent3" w:themeTint="bf" w:sz="8"/>
        <w:right w:val="single" w:themeColor="accent3" w:themeTint="bf" w:sz="8"/>
        <w:insideH w:val="single" w:themeColor="accent3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2">
    <w:name w:val="Medium Shading 1 Accent 6"/>
    <w:basedOn w:val="Style_60"/>
    <w:pPr>
      <w:spacing w:after="0" w:line="240" w:lineRule="auto"/>
    </w:pPr>
    <w:tblPr>
      <w:tblBorders>
        <w:top w:val="single" w:themeColor="accent6" w:themeTint="bf" w:sz="8"/>
        <w:left w:val="single" w:themeColor="accent6" w:themeTint="bf" w:sz="8"/>
        <w:bottom w:val="single" w:themeColor="accent6" w:themeTint="bf" w:sz="8"/>
        <w:right w:val="single" w:themeColor="accent6" w:themeTint="bf" w:sz="8"/>
        <w:insideH w:val="single" w:themeColor="accent6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3">
    <w:name w:val="Medium Grid 3 Accent 5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4">
    <w:name w:val="Medium Grid 1 Accent 6"/>
    <w:basedOn w:val="Style_60"/>
    <w:pPr>
      <w:spacing w:after="0" w:line="240" w:lineRule="auto"/>
    </w:pPr>
    <w:tblPr>
      <w:tblBorders>
        <w:top w:val="single" w:themeColor="accent6" w:themeTint="bf" w:sz="8"/>
        <w:left w:val="single" w:themeColor="accent6" w:themeTint="bf" w:sz="8"/>
        <w:bottom w:val="single" w:themeColor="accent6" w:themeTint="bf" w:sz="8"/>
        <w:right w:val="single" w:themeColor="accent6" w:themeTint="bf" w:sz="8"/>
        <w:insideH w:val="single" w:themeColor="accent6" w:themeTint="bf" w:sz="8"/>
        <w:insideV w:val="single" w:themeColor="accent6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5">
    <w:name w:val="Light Grid Accent 3"/>
    <w:basedOn w:val="Style_60"/>
    <w:pPr>
      <w:spacing w:after="0" w:line="240" w:lineRule="auto"/>
    </w:pPr>
    <w:tblPr>
      <w:tblBorders>
        <w:top w:val="single" w:themeColor="accent3" w:sz="8"/>
        <w:left w:val="single" w:themeColor="accent3" w:sz="8"/>
        <w:bottom w:val="single" w:themeColor="accent3" w:sz="8"/>
        <w:right w:val="single" w:themeColor="accent3" w:sz="8"/>
        <w:insideH w:val="single" w:themeColor="accent3" w:sz="8"/>
        <w:insideV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6">
    <w:name w:val="Colorful Grid Accent 5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7">
    <w:name w:val="Medium Grid 2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text1" w:sz="8"/>
        <w:left w:val="single" w:themeColor="text1" w:sz="8"/>
        <w:bottom w:val="single" w:themeColor="text1" w:sz="8"/>
        <w:right w:val="single" w:themeColor="text1" w:sz="8"/>
        <w:insideH w:val="single" w:themeColor="text1" w:sz="8"/>
        <w:insideV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8">
    <w:name w:val="Medium Shading 2 Accent 4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9">
    <w:name w:val="Light Shading Accent 6"/>
    <w:basedOn w:val="Style_60"/>
    <w:pPr>
      <w:spacing w:after="0" w:line="240" w:lineRule="auto"/>
    </w:pPr>
    <w:rPr>
      <w:color w:val="e46c0a" w:themeColor="accent6" w:themeShade="bf"/>
    </w:rPr>
    <w:tblPr>
      <w:tblBorders>
        <w:top w:val="single" w:themeColor="accent6" w:sz="8"/>
        <w:bottom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0">
    <w:name w:val="Light List Accent 2"/>
    <w:basedOn w:val="Style_60"/>
    <w:pPr>
      <w:spacing w:after="0" w:line="240" w:lineRule="auto"/>
    </w:pPr>
    <w:tblPr>
      <w:tblBorders>
        <w:top w:val="single" w:themeColor="accent2" w:sz="8"/>
        <w:left w:val="single" w:themeColor="accent2" w:sz="8"/>
        <w:bottom w:val="single" w:themeColor="accent2" w:sz="8"/>
        <w:right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1">
    <w:name w:val="Light Grid Accent 5"/>
    <w:basedOn w:val="Style_60"/>
    <w:pPr>
      <w:spacing w:after="0" w:line="240" w:lineRule="auto"/>
    </w:pPr>
    <w:tblPr>
      <w:tblBorders>
        <w:top w:val="single" w:themeColor="accent5" w:sz="8"/>
        <w:left w:val="single" w:themeColor="accent5" w:sz="8"/>
        <w:bottom w:val="single" w:themeColor="accent5" w:sz="8"/>
        <w:right w:val="single" w:themeColor="accent5" w:sz="8"/>
        <w:insideH w:val="single" w:themeColor="accent5" w:sz="8"/>
        <w:insideV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2">
    <w:name w:val="Medium Shading 2 Accent 1"/>
    <w:basedOn w:val="Style_60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3">
    <w:name w:val="Light List Accent 6"/>
    <w:basedOn w:val="Style_60"/>
    <w:pPr>
      <w:spacing w:after="0" w:line="240" w:lineRule="auto"/>
    </w:pPr>
    <w:tblPr>
      <w:tblBorders>
        <w:top w:val="single" w:themeColor="accent6" w:sz="8"/>
        <w:left w:val="single" w:themeColor="accent6" w:sz="8"/>
        <w:bottom w:val="single" w:themeColor="accent6" w:sz="8"/>
        <w:right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4">
    <w:name w:val="Dark List Accent 1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5">
    <w:name w:val="Colorful Shading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2" w:sz="24"/>
        <w:left w:val="single" w:themeColor="text1" w:sz="4"/>
        <w:bottom w:val="single" w:themeColor="text1" w:sz="4"/>
        <w:right w:val="single" w:themeColor="text1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6">
    <w:name w:val="Medium Grid 3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7">
    <w:name w:val="Medium List 1 Accent 6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6" w:sz="8"/>
        <w:bottom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8">
    <w:name w:val="Medium Grid 2 Accent 6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6" w:sz="8"/>
        <w:left w:val="single" w:themeColor="accent6" w:sz="8"/>
        <w:bottom w:val="single" w:themeColor="accent6" w:sz="8"/>
        <w:right w:val="single" w:themeColor="accent6" w:sz="8"/>
        <w:insideH w:val="single" w:themeColor="accent6" w:sz="8"/>
        <w:insideV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9">
    <w:name w:val="Medium Grid 3 Accent 3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0">
    <w:name w:val="Light Shading"/>
    <w:basedOn w:val="Style_60"/>
    <w:pPr>
      <w:spacing w:after="0" w:line="240" w:lineRule="auto"/>
    </w:pPr>
    <w:rPr>
      <w:color w:val="000000" w:themeColor="text1" w:themeShade="bf"/>
    </w:rPr>
    <w:tblPr>
      <w:tblBorders>
        <w:top w:val="single" w:themeColor="text1" w:sz="8"/>
        <w:bottom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1">
    <w:name w:val="Medium List 1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text1" w:sz="8"/>
        <w:bottom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2">
    <w:name w:val="Dark List Accent 2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3">
    <w:name w:val="Colorful Shading Accent 2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2" w:sz="24"/>
        <w:left w:val="single" w:themeColor="accent2" w:sz="4"/>
        <w:bottom w:val="single" w:themeColor="accent2" w:sz="4"/>
        <w:right w:val="single" w:themeColor="accent2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Style_60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4">
    <w:name w:val="Colorful List Accent 3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5">
    <w:name w:val="Medium Grid 1"/>
    <w:basedOn w:val="Style_60"/>
    <w:pPr>
      <w:spacing w:after="0" w:line="240" w:lineRule="auto"/>
    </w:pPr>
    <w:tblPr>
      <w:tblBorders>
        <w:top w:val="single" w:themeColor="text1" w:themeTint="bf" w:sz="8"/>
        <w:left w:val="single" w:themeColor="text1" w:themeTint="bf" w:sz="8"/>
        <w:bottom w:val="single" w:themeColor="text1" w:themeTint="bf" w:sz="8"/>
        <w:right w:val="single" w:themeColor="text1" w:themeTint="bf" w:sz="8"/>
        <w:insideH w:val="single" w:themeColor="text1" w:themeTint="bf" w:sz="8"/>
        <w:insideV w:val="single" w:themeColor="text1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6">
    <w:name w:val="Medium List 2 Accent 6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accent6" w:sz="8"/>
        <w:left w:val="single" w:themeColor="accent6" w:sz="8"/>
        <w:bottom w:val="single" w:themeColor="accent6" w:sz="8"/>
        <w:right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7">
    <w:name w:val="Colorful List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8">
    <w:name w:val="Colorful Grid Accent 1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9">
    <w:name w:val="Light Grid Accent 1"/>
    <w:basedOn w:val="Style_60"/>
    <w:pPr>
      <w:spacing w:after="0" w:line="240" w:lineRule="auto"/>
    </w:pPr>
    <w:tblPr>
      <w:tblBorders>
        <w:top w:val="single" w:themeColor="accent1" w:sz="8"/>
        <w:left w:val="single" w:themeColor="accent1" w:sz="8"/>
        <w:bottom w:val="single" w:themeColor="accent1" w:sz="8"/>
        <w:right w:val="single" w:themeColor="accent1" w:sz="8"/>
        <w:insideH w:val="single" w:themeColor="accent1" w:sz="8"/>
        <w:insideV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0">
    <w:name w:val="Medium Grid 3 Accent 2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1">
    <w:name w:val="Colorful Shading Accent 4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3" w:sz="24"/>
        <w:left w:val="single" w:themeColor="accent4" w:sz="4"/>
        <w:bottom w:val="single" w:themeColor="accent4" w:sz="4"/>
        <w:right w:val="single" w:themeColor="accent4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2">
    <w:name w:val="Medium List 1 Accent 5"/>
    <w:basedOn w:val="Style_60"/>
    <w:pPr>
      <w:spacing w:after="0" w:line="240" w:lineRule="auto"/>
    </w:pPr>
    <w:rPr>
      <w:color w:val="000000" w:themeColor="text1"/>
    </w:rPr>
    <w:tblPr>
      <w:tblBorders>
        <w:top w:val="single" w:themeColor="accent5" w:sz="8"/>
        <w:bottom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3">
    <w:name w:val="Colorful List Accent 6"/>
    <w:basedOn w:val="Style_60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4">
    <w:name w:val="Light Shading Accent 4"/>
    <w:basedOn w:val="Style_60"/>
    <w:pPr>
      <w:spacing w:after="0" w:line="240" w:lineRule="auto"/>
    </w:pPr>
    <w:rPr>
      <w:color w:val="604a7b" w:themeColor="accent4" w:themeShade="bf"/>
    </w:rPr>
    <w:tblPr>
      <w:tblBorders>
        <w:top w:val="single" w:themeColor="accent4" w:sz="8"/>
        <w:bottom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5">
    <w:name w:val="Medium Shading 1 Accent 5"/>
    <w:basedOn w:val="Style_60"/>
    <w:pPr>
      <w:spacing w:after="0" w:line="240" w:lineRule="auto"/>
    </w:pPr>
    <w:tblPr>
      <w:tblBorders>
        <w:top w:val="single" w:themeColor="accent5" w:themeTint="bf" w:sz="8"/>
        <w:left w:val="single" w:themeColor="accent5" w:themeTint="bf" w:sz="8"/>
        <w:bottom w:val="single" w:themeColor="accent5" w:themeTint="bf" w:sz="8"/>
        <w:right w:val="single" w:themeColor="accent5" w:themeTint="bf" w:sz="8"/>
        <w:insideH w:val="single" w:themeColor="accent5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6">
    <w:name w:val="Medium Shading 1 Accent 2"/>
    <w:basedOn w:val="Style_60"/>
    <w:pPr>
      <w:spacing w:after="0" w:line="240" w:lineRule="auto"/>
    </w:pPr>
    <w:tblPr>
      <w:tblBorders>
        <w:top w:val="single" w:themeColor="accent2" w:themeTint="bf" w:sz="8"/>
        <w:left w:val="single" w:themeColor="accent2" w:themeTint="bf" w:sz="8"/>
        <w:bottom w:val="single" w:themeColor="accent2" w:themeTint="bf" w:sz="8"/>
        <w:right w:val="single" w:themeColor="accent2" w:themeTint="bf" w:sz="8"/>
        <w:insideH w:val="single" w:themeColor="accent2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7">
    <w:name w:val="Medium Grid 1 Accent 1"/>
    <w:basedOn w:val="Style_60"/>
    <w:pPr>
      <w:spacing w:after="0" w:line="240" w:lineRule="auto"/>
    </w:pPr>
    <w:tblPr>
      <w:tblBorders>
        <w:top w:val="single" w:themeColor="accent1" w:themeTint="bf" w:sz="8"/>
        <w:left w:val="single" w:themeColor="accent1" w:themeTint="bf" w:sz="8"/>
        <w:bottom w:val="single" w:themeColor="accent1" w:themeTint="bf" w:sz="8"/>
        <w:right w:val="single" w:themeColor="accent1" w:themeTint="bf" w:sz="8"/>
        <w:insideH w:val="single" w:themeColor="accent1" w:themeTint="bf" w:sz="8"/>
        <w:insideV w:val="single" w:themeColor="accent1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8">
    <w:name w:val="Dark List Accent 3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9">
    <w:name w:val="Dark List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0">
    <w:name w:val="Medium List 2"/>
    <w:basedOn w:val="Style_60"/>
    <w:pPr>
      <w:spacing w:after="0" w:line="240" w:lineRule="auto"/>
    </w:pPr>
    <w:rPr>
      <w:rFonts w:asciiTheme="majorAscii" w:hAnsiTheme="majorHAnsi"/>
      <w:color w:val="000000" w:themeColor="text1"/>
    </w:rPr>
    <w:tblPr>
      <w:tblBorders>
        <w:top w:val="single" w:themeColor="text1" w:sz="8"/>
        <w:left w:val="single" w:themeColor="text1" w:sz="8"/>
        <w:bottom w:val="single" w:themeColor="text1" w:sz="8"/>
        <w:right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1">
    <w:name w:val="Medium Grid 3 Accent 1"/>
    <w:basedOn w:val="Style_60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2">
    <w:name w:val="Colorful Grid Accent 3"/>
    <w:basedOn w:val="Style_60"/>
    <w:pPr>
      <w:spacing w:after="0" w:line="240" w:lineRule="auto"/>
    </w:pPr>
    <w:rPr>
      <w:color w:val="000000"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3">
    <w:name w:val="Light List Accent 3"/>
    <w:basedOn w:val="Style_60"/>
    <w:pPr>
      <w:spacing w:after="0" w:line="240" w:lineRule="auto"/>
    </w:pPr>
    <w:tblPr>
      <w:tblBorders>
        <w:top w:val="single" w:themeColor="accent3" w:sz="8"/>
        <w:left w:val="single" w:themeColor="accent3" w:sz="8"/>
        <w:bottom w:val="single" w:themeColor="accent3" w:sz="8"/>
        <w:right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4">
    <w:name w:val="Light List Accent 4"/>
    <w:basedOn w:val="Style_60"/>
    <w:pPr>
      <w:spacing w:after="0" w:line="240" w:lineRule="auto"/>
    </w:pPr>
    <w:tblPr>
      <w:tblBorders>
        <w:top w:val="single" w:themeColor="accent4" w:sz="8"/>
        <w:left w:val="single" w:themeColor="accent4" w:sz="8"/>
        <w:bottom w:val="single" w:themeColor="accent4" w:sz="8"/>
        <w:right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5">
    <w:name w:val="Light List Accent 5"/>
    <w:basedOn w:val="Style_60"/>
    <w:pPr>
      <w:spacing w:after="0" w:line="240" w:lineRule="auto"/>
    </w:pPr>
    <w:tblPr>
      <w:tblBorders>
        <w:top w:val="single" w:themeColor="accent5" w:sz="8"/>
        <w:left w:val="single" w:themeColor="accent5" w:sz="8"/>
        <w:bottom w:val="single" w:themeColor="accent5" w:sz="8"/>
        <w:right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6">
    <w:name w:val="Dark List Accent 6"/>
    <w:basedOn w:val="Style_6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7">
    <w:name w:val="Light Shading Accent 1"/>
    <w:basedOn w:val="Style_60"/>
    <w:pPr>
      <w:spacing w:after="0" w:line="240" w:lineRule="auto"/>
    </w:pPr>
    <w:rPr>
      <w:color w:val="376092" w:themeColor="accent1" w:themeShade="bf"/>
    </w:rPr>
    <w:tblPr>
      <w:tblBorders>
        <w:top w:val="single" w:themeColor="accent1" w:sz="8"/>
        <w:bottom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spd.gov.ru;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tileRect l="0" t="0" r="0" b="0"/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LibreOffice/26.2.4.2$Windows_X86_64 LibreOffice_project/0229ac93fcf0d7cbc6376066c6f35021cef002dc</Application>
  <AppVersion>15.0000</AppVersion>
  <Pages>6</Pages>
  <Words>1034</Words>
  <Characters>9304</Characters>
  <CharactersWithSpaces>10202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dc:language>ru-RU</dc:language>
  <cp:lastModifiedBy/>
  <dcterms:modified xsi:type="dcterms:W3CDTF">2026-06-10T12:27:46Z</dcterms:modified>
  <cp:revision>1</cp:revision>
  <dc:subject/>
  <dc:title/>
</cp:coreProperties>
</file>