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 ВОЗДЕЙСТВИЕ ОБЪЕКТА НА ЗЕМЕЛЬНЫЕ РЕСУРСЫ</w:t>
      </w:r>
    </w:p>
    <w:p w14:paraId="02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 Краткая характеристика земель района расположения объекта проектирования</w:t>
      </w:r>
    </w:p>
    <w:p w14:paraId="03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2.1.1. Инженерно-геологические условия района расположения объекта проектирования</w:t>
      </w:r>
    </w:p>
    <w:p w14:paraId="04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{{geology.description}}</w:t>
      </w:r>
    </w:p>
    <w:p w14:paraId="05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geology.ige_table %}</w:t>
      </w:r>
    </w:p>
    <w:p w14:paraId="06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По результатам лабораторных и полевых исследований грунтов в геологическом разрезе площадки выделены следующие инженерно-геологические элементы (ИГЭ):</w:t>
      </w:r>
    </w:p>
    <w:p w14:paraId="07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for ige in geology.ige_table %}</w:t>
      </w:r>
    </w:p>
    <w:p w14:paraId="08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{{ige.name}}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r>
        <w:rPr>
          <w:rFonts w:ascii="Times New Roman" w:hAnsi="Times New Roman"/>
          <w:sz w:val="24"/>
          <w:highlight w:val="green"/>
        </w:rPr>
        <w:t>{{ige.description}}</w:t>
      </w:r>
    </w:p>
    <w:p w14:paraId="09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endfor %}</w:t>
      </w:r>
    </w:p>
    <w:p w14:paraId="0A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0B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2.1.2. Гидрогеологические условия района расположения объекта проектирования</w:t>
      </w:r>
    </w:p>
    <w:p w14:paraId="0C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{{hydrogeology.description}}</w:t>
      </w:r>
    </w:p>
    <w:p w14:paraId="0D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hydrogeology.surface_water_description %}</w:t>
      </w:r>
    </w:p>
    <w:p w14:paraId="0E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{{hydrogeology.surface_water_description}}</w:t>
      </w:r>
    </w:p>
    <w:p w14:paraId="0F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10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2.1.3. Характеристика опасных экзогенных процессов</w:t>
      </w:r>
    </w:p>
    <w:p w14:paraId="11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dangerous_processes.not_detected %}</w:t>
      </w:r>
    </w:p>
    <w:p w14:paraId="12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На территории участка строительства в ходе полевых наблюдений опасные экзогенные процессы не выявлены.</w:t>
      </w:r>
    </w:p>
    <w:p w14:paraId="13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14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not dangerous_processes.not_detected %}</w:t>
      </w:r>
    </w:p>
    <w:p w14:paraId="15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dangerous_processes.flooding %}</w:t>
      </w:r>
    </w:p>
    <w:p w14:paraId="16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1. Подтопление (подъем уровня грунтовых вод выше критического уровня).</w:t>
      </w:r>
    </w:p>
    <w:p w14:paraId="17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В соответстви</w:t>
      </w:r>
      <w:r>
        <w:rPr>
          <w:rFonts w:ascii="Times New Roman" w:hAnsi="Times New Roman"/>
          <w:b w:val="0"/>
          <w:i w:val="0"/>
          <w:sz w:val="24"/>
        </w:rPr>
        <w:t xml:space="preserve">и с </w:t>
      </w:r>
      <w:r>
        <w:rPr>
          <w:i w:val="0"/>
        </w:rPr>
        <w:t>СП 446.1325800.2019</w:t>
      </w:r>
      <w:r>
        <w:rPr>
          <w:rFonts w:ascii="Times New Roman" w:hAnsi="Times New Roman"/>
          <w:b w:val="0"/>
          <w:i w:val="0"/>
          <w:sz w:val="24"/>
        </w:rPr>
        <w:t xml:space="preserve">, рассматриваемая территория по оценке подтопляемости относится к району </w:t>
      </w:r>
      <w:r>
        <w:rPr>
          <w:rFonts w:ascii="Times New Roman" w:hAnsi="Times New Roman"/>
          <w:sz w:val="24"/>
          <w:highlight w:val="green"/>
        </w:rPr>
        <w:t>{{dangerous_processes.flooding.area_type}}</w:t>
      </w:r>
      <w:r>
        <w:rPr>
          <w:rFonts w:ascii="Times New Roman" w:hAnsi="Times New Roman"/>
          <w:b w:val="0"/>
          <w:i w:val="0"/>
          <w:sz w:val="24"/>
        </w:rPr>
        <w:t xml:space="preserve">, к категории </w:t>
      </w:r>
      <w:r>
        <w:rPr>
          <w:rFonts w:ascii="Times New Roman" w:hAnsi="Times New Roman"/>
          <w:sz w:val="24"/>
          <w:highlight w:val="green"/>
        </w:rPr>
        <w:t>{{dangerous_processes.flooding.category}}</w:t>
      </w:r>
      <w:r>
        <w:rPr>
          <w:rFonts w:ascii="Times New Roman" w:hAnsi="Times New Roman"/>
          <w:b w:val="0"/>
          <w:i w:val="0"/>
          <w:sz w:val="24"/>
        </w:rPr>
        <w:t>.</w:t>
      </w:r>
    </w:p>
    <w:p w14:paraId="18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19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dangerous_processes.seismic %}</w:t>
      </w:r>
    </w:p>
    <w:p w14:paraId="1A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2. Сейсмические процессы.</w:t>
      </w:r>
    </w:p>
    <w:p w14:paraId="1B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 xml:space="preserve">Согласно СП 14.13330.2018 расчетная сейсмическая интенсивность в баллах шкалы MSK-64 для средних трех степеней сейсмической опасности (А-10%, В – 5%, С – 1%) в течение 50 лет составит по </w:t>
      </w:r>
      <w:r>
        <w:rPr>
          <w:rFonts w:ascii="Times New Roman" w:hAnsi="Times New Roman"/>
          <w:sz w:val="24"/>
          <w:highlight w:val="green"/>
        </w:rPr>
        <w:t>{{dangerous_processes.seismic.locality}}</w:t>
      </w:r>
      <w:r>
        <w:rPr>
          <w:rFonts w:ascii="Times New Roman" w:hAnsi="Times New Roman"/>
          <w:b w:val="0"/>
          <w:i w:val="0"/>
          <w:sz w:val="24"/>
        </w:rPr>
        <w:t xml:space="preserve">: А – </w:t>
      </w:r>
      <w:r>
        <w:rPr>
          <w:rFonts w:ascii="Times New Roman" w:hAnsi="Times New Roman"/>
          <w:sz w:val="24"/>
          <w:highlight w:val="green"/>
        </w:rPr>
        <w:t>{{dangerous_processes.seismic.rating_a}}</w:t>
      </w:r>
      <w:r>
        <w:rPr>
          <w:rFonts w:ascii="Times New Roman" w:hAnsi="Times New Roman"/>
          <w:b w:val="0"/>
          <w:i w:val="0"/>
          <w:sz w:val="24"/>
        </w:rPr>
        <w:t xml:space="preserve"> баллов, В – </w:t>
      </w:r>
      <w:r>
        <w:rPr>
          <w:rFonts w:ascii="Times New Roman" w:hAnsi="Times New Roman"/>
          <w:sz w:val="24"/>
          <w:highlight w:val="green"/>
        </w:rPr>
        <w:t>{{dangerous_processes.seismic.rating_b}}</w:t>
      </w:r>
      <w:r>
        <w:rPr>
          <w:rFonts w:ascii="Times New Roman" w:hAnsi="Times New Roman"/>
          <w:b w:val="0"/>
          <w:i w:val="0"/>
          <w:sz w:val="24"/>
        </w:rPr>
        <w:t xml:space="preserve"> баллов, С – </w:t>
      </w:r>
      <w:r>
        <w:rPr>
          <w:rFonts w:ascii="Times New Roman" w:hAnsi="Times New Roman"/>
          <w:sz w:val="24"/>
          <w:highlight w:val="green"/>
        </w:rPr>
        <w:t>{{dangerous_processes.seismic.rating_c}}</w:t>
      </w:r>
      <w:r>
        <w:rPr>
          <w:rFonts w:ascii="Times New Roman" w:hAnsi="Times New Roman"/>
          <w:b w:val="0"/>
          <w:i w:val="0"/>
          <w:sz w:val="24"/>
        </w:rPr>
        <w:t xml:space="preserve"> баллов. В пределах глубины исследования грунты относятся к </w:t>
      </w:r>
      <w:r>
        <w:rPr>
          <w:rFonts w:ascii="Times New Roman" w:hAnsi="Times New Roman"/>
          <w:sz w:val="24"/>
          <w:highlight w:val="green"/>
        </w:rPr>
        <w:t>{{dangerous_processes.seismic.ground_category}}</w:t>
      </w:r>
      <w:r>
        <w:rPr>
          <w:rFonts w:ascii="Times New Roman" w:hAnsi="Times New Roman"/>
          <w:b w:val="0"/>
          <w:i w:val="0"/>
          <w:sz w:val="24"/>
        </w:rPr>
        <w:t xml:space="preserve"> категории по сейсмическим свойствам, с учетом сейсмичности района сейсмичность площадки составляет </w:t>
      </w:r>
      <w:r>
        <w:rPr>
          <w:rFonts w:ascii="Times New Roman" w:hAnsi="Times New Roman"/>
          <w:sz w:val="24"/>
          <w:highlight w:val="green"/>
        </w:rPr>
        <w:t>{{dangerous_processes.seismic.site_rating}}</w:t>
      </w:r>
      <w:r>
        <w:rPr>
          <w:rFonts w:ascii="Times New Roman" w:hAnsi="Times New Roman"/>
          <w:b w:val="0"/>
          <w:i w:val="0"/>
          <w:sz w:val="24"/>
        </w:rPr>
        <w:t xml:space="preserve"> баллов.</w:t>
      </w:r>
    </w:p>
    <w:p w14:paraId="1C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1D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dangerous_processes.frost_heave %}</w:t>
      </w:r>
    </w:p>
    <w:p w14:paraId="1E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3. Морозное пучение.</w:t>
      </w:r>
    </w:p>
    <w:p w14:paraId="1F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{{dangerous_processes.frost_heave.description}}</w:t>
      </w:r>
    </w:p>
    <w:p w14:paraId="20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21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dangerous_processes.suffosion %}</w:t>
      </w:r>
    </w:p>
    <w:p w14:paraId="22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4. Суффозия.</w:t>
      </w:r>
    </w:p>
    <w:p w14:paraId="23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{{dangerous_processes.suffosion.description}}</w:t>
      </w:r>
    </w:p>
    <w:p w14:paraId="24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25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dangerous_processes.additional_description %}</w:t>
      </w:r>
    </w:p>
    <w:p w14:paraId="26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{{dangerous_processes.additional_description}}</w:t>
      </w:r>
    </w:p>
    <w:p w14:paraId="27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28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29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2.1.4. Почвенные условия территории</w:t>
      </w:r>
    </w:p>
    <w:p w14:paraId="2A000000">
      <w:pPr>
        <w:widowControl w:val="1"/>
        <w:spacing w:after="0"/>
        <w:ind w:firstLine="709"/>
        <w:rPr>
          <w:rFonts w:ascii="JetBrains Mono" w:hAnsi="JetBrains Mono"/>
          <w:color w:val="080808"/>
          <w:highlight w:val="white"/>
        </w:rPr>
      </w:pPr>
      <w:r>
        <w:rPr>
          <w:rFonts w:ascii="Times New Roman" w:hAnsi="Times New Roman"/>
          <w:b w:val="0"/>
          <w:i w:val="0"/>
          <w:sz w:val="24"/>
        </w:rPr>
        <w:t xml:space="preserve">Для оценки существующего уровня загрязнения почв было произведено почвенно-экологическое обследование района </w:t>
      </w:r>
      <w:r>
        <w:rPr>
          <w:rFonts w:ascii="Times New Roman" w:hAnsi="Times New Roman"/>
          <w:sz w:val="24"/>
          <w:highlight w:val="green"/>
        </w:rPr>
        <w:t>{{</w:t>
      </w:r>
      <w:r>
        <w:rPr>
          <w:rFonts w:ascii="Times New Roman" w:hAnsi="Times New Roman"/>
          <w:color w:val="080808"/>
          <w:shd w:fill="4BF357" w:val="clear"/>
        </w:rPr>
        <w:t>type_of_work_genitive</w:t>
      </w:r>
      <w:r>
        <w:rPr>
          <w:rFonts w:ascii="Times New Roman" w:hAnsi="Times New Roman"/>
          <w:sz w:val="24"/>
          <w:highlight w:val="green"/>
        </w:rPr>
        <w:t>}}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shd w:fill="4BF357" w:val="clear"/>
        </w:rPr>
        <w:t>{</w:t>
      </w:r>
      <w:r>
        <w:rPr>
          <w:rFonts w:ascii="Times New Roman" w:hAnsi="Times New Roman"/>
          <w:sz w:val="24"/>
          <w:highlight w:val="green"/>
        </w:rPr>
        <w:t>{</w:t>
      </w:r>
      <w:r>
        <w:rPr>
          <w:rFonts w:ascii="Times New Roman" w:hAnsi="Times New Roman"/>
          <w:color w:val="080808"/>
          <w:shd w:fill="4BF357" w:val="clear"/>
        </w:rPr>
        <w:t>name_genitive_short</w:t>
      </w:r>
      <w:r>
        <w:rPr>
          <w:rFonts w:ascii="Times New Roman" w:hAnsi="Times New Roman"/>
          <w:sz w:val="24"/>
          <w:highlight w:val="green"/>
        </w:rPr>
        <w:t>}}</w:t>
      </w:r>
      <w:r>
        <w:rPr>
          <w:rFonts w:ascii="Times New Roman" w:hAnsi="Times New Roman"/>
          <w:b w:val="0"/>
          <w:i w:val="0"/>
          <w:sz w:val="24"/>
        </w:rPr>
        <w:t>.</w:t>
      </w:r>
    </w:p>
    <w:p w14:paraId="2B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Отбор проб почво-грунтов производится в соответствии с действующими нормативными актами:</w:t>
      </w:r>
    </w:p>
    <w:p w14:paraId="2C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– ГОСТ 17.4.3.01-2017. Охрана природы. Почвы. Общие требования к отбору проб;</w:t>
      </w:r>
    </w:p>
    <w:p w14:paraId="2D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– ГОСТ 17.4.4.02-2017. Охрана природы. Почвы. Методы отбора и подготовки проб для химического, бактериологического, гельминтологического анализа.</w:t>
      </w:r>
    </w:p>
    <w:p w14:paraId="2E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soil.sampling_description %}</w:t>
      </w:r>
    </w:p>
    <w:p w14:paraId="2F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{{soil.sampling_description}}</w:t>
      </w:r>
    </w:p>
    <w:p w14:paraId="30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31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{{soil.chemical_results}}</w:t>
      </w:r>
    </w:p>
    <w:p w14:paraId="32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soil.petroleum_results %}</w:t>
      </w:r>
    </w:p>
    <w:p w14:paraId="33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{{soil.petroleum_results}}</w:t>
      </w:r>
    </w:p>
    <w:p w14:paraId="34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35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soil.benzpyrene_results %}</w:t>
      </w:r>
    </w:p>
    <w:p w14:paraId="36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{{soil.benzpyrene_results}}</w:t>
      </w:r>
    </w:p>
    <w:p w14:paraId="37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38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{{soil.microbiology_results}}</w:t>
      </w:r>
    </w:p>
    <w:p w14:paraId="39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{{soil.toxicology_results}}</w:t>
      </w:r>
    </w:p>
    <w:p w14:paraId="3A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{{soil.radiation_results}}</w:t>
      </w:r>
    </w:p>
    <w:p w14:paraId="3B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При разработке мероприятий по охране окружающей среды были учтены требования СанПиН 2.1.3684-21 по использованию почв в соответствии с категориями загрязнения грунта (таблица 2.1).</w:t>
      </w:r>
    </w:p>
    <w:p w14:paraId="3C000000">
      <w:pPr>
        <w:widowControl w:val="1"/>
        <w:spacing w:after="0"/>
        <w:ind/>
      </w:pPr>
      <w:r>
        <w:rPr>
          <w:rFonts w:ascii="Times New Roman" w:hAnsi="Times New Roman"/>
          <w:b w:val="1"/>
          <w:i w:val="0"/>
          <w:sz w:val="24"/>
        </w:rPr>
        <w:t>Таблица 2.1.</w:t>
      </w:r>
    </w:p>
    <w:p w14:paraId="3D000000">
      <w:pPr>
        <w:widowControl w:val="1"/>
        <w:spacing w:after="0"/>
        <w:ind/>
      </w:pPr>
      <w:r>
        <w:rPr>
          <w:rFonts w:ascii="Times New Roman" w:hAnsi="Times New Roman"/>
          <w:b w:val="0"/>
          <w:i w:val="0"/>
          <w:sz w:val="24"/>
        </w:rPr>
        <w:t>Рекомендации по использованию почв в зависимости от степени их загрязнения приведены в Приложении 9 СанПиН 2.1.3684-21 «Санитарно-эпидемиологические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мероприятий»</w:t>
      </w:r>
    </w:p>
    <w:tbl>
      <w:tblPr>
        <w:tblStyle w:val="Style_1"/>
        <w:tblW w:type="auto" w:w="0"/>
        <w:tblLayout w:type="fixed"/>
      </w:tblPr>
      <w:tblGrid>
        <w:gridCol w:w="4320"/>
        <w:gridCol w:w="4320"/>
      </w:tblGrid>
      <w:tr>
        <w:tc>
          <w:tcPr>
            <w:tcW w:type="dxa" w:w="4320"/>
          </w:tcPr>
          <w:p w14:paraId="3E000000">
            <w:r>
              <w:t>Категории загрязнения почв</w:t>
            </w:r>
          </w:p>
        </w:tc>
        <w:tc>
          <w:tcPr>
            <w:tcW w:type="dxa" w:w="4320"/>
          </w:tcPr>
          <w:p w14:paraId="3F000000">
            <w:r>
              <w:t>Рекомендации по использованию почв</w:t>
            </w:r>
          </w:p>
        </w:tc>
      </w:tr>
      <w:tr>
        <w:tc>
          <w:tcPr>
            <w:tcW w:type="dxa" w:w="4320"/>
          </w:tcPr>
          <w:p w14:paraId="40000000">
            <w:r>
              <w:t>Содержание химических веществ в почве не превышает фоновое</w:t>
            </w:r>
          </w:p>
        </w:tc>
        <w:tc>
          <w:tcPr>
            <w:tcW w:type="dxa" w:w="4320"/>
          </w:tcPr>
          <w:p w14:paraId="41000000">
            <w:r>
              <w:t>Использование без ограничений, использование под любые культуры растений</w:t>
            </w:r>
          </w:p>
        </w:tc>
      </w:tr>
      <w:tr>
        <w:tc>
          <w:tcPr>
            <w:tcW w:type="dxa" w:w="4320"/>
          </w:tcPr>
          <w:p w14:paraId="42000000">
            <w:r>
              <w:t>Содержание химических веществ в почве превышает фоновое, но не выше предельно допустимых концентраций</w:t>
            </w:r>
          </w:p>
        </w:tc>
        <w:tc>
          <w:tcPr>
            <w:tcW w:type="dxa" w:w="4320"/>
          </w:tcPr>
          <w:p w14:paraId="43000000">
            <w:r>
              <w:t>Использование без ограничений, исключая объекты повышенного риска, использование под любые культуры с контролем качества пищевой продукции</w:t>
            </w:r>
          </w:p>
        </w:tc>
      </w:tr>
      <w:tr>
        <w:tc>
          <w:tcPr>
            <w:tcW w:type="dxa" w:w="4320"/>
          </w:tcPr>
          <w:p w14:paraId="44000000">
            <w:r>
              <w:t>Содержание химических веществ в почве превышает их предельно допустимые концентрации при лимитирующем общесанитарном, миграционном водном и миграционном воздушном показателях вредности, но ниже допустимого уровня по транслокационному показателю вредности</w:t>
            </w:r>
          </w:p>
        </w:tc>
        <w:tc>
          <w:tcPr>
            <w:tcW w:type="dxa" w:w="4320"/>
          </w:tcPr>
          <w:p w14:paraId="45000000">
            <w:r>
              <w:t>Использование без ограничений, исключая объекты повышенного риска, использование под любые культуры с контролем качества пищевой продукции</w:t>
            </w:r>
          </w:p>
        </w:tc>
      </w:tr>
      <w:tr>
        <w:tc>
          <w:tcPr>
            <w:tcW w:type="dxa" w:w="4320"/>
          </w:tcPr>
          <w:p w14:paraId="46000000">
            <w:r>
              <w:t>Содержание химических веществ в почве превышает их предельно допустимые концентрации при лимитирующем транслокационном показателе вредности</w:t>
            </w:r>
          </w:p>
        </w:tc>
        <w:tc>
          <w:tcPr>
            <w:tcW w:type="dxa" w:w="4320"/>
          </w:tcPr>
          <w:p w14:paraId="47000000">
            <w:r>
              <w:t>Использование в ходе строительных работ под отсыпки котлованов и выемок, на участках озеленения с подсыпкой слоя чистого грунта не менее 0,2 м, использование под технические культуры.</w:t>
            </w:r>
          </w:p>
        </w:tc>
      </w:tr>
      <w:tr>
        <w:tc>
          <w:tcPr>
            <w:tcW w:type="dxa" w:w="4320"/>
          </w:tcPr>
          <w:p w14:paraId="48000000">
            <w:r>
              <w:t>Содержание химических веществ превышает предельно допустимые концентрации по всем показателям вредности</w:t>
            </w:r>
          </w:p>
        </w:tc>
        <w:tc>
          <w:tcPr>
            <w:tcW w:type="dxa" w:w="4320"/>
          </w:tcPr>
          <w:p w14:paraId="49000000">
            <w:r>
              <w:t>Ограниченное использование под отсыпки выемок и котлованов с перекрытием слоем чистого грунта не менее 0,5 м. При наличии эпидемиологической опасности использование после проведения дезинфекции (дезинвазии) с последующим лабораторным контролем, использование под технические культуры.</w:t>
            </w:r>
          </w:p>
        </w:tc>
      </w:tr>
    </w:tbl>
    <w:p w14:paraId="4A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Рекомендации по использованию почвы в зависимости от степени ее загрязнения (согласно СанПиН 2.1.3684-21):</w:t>
      </w:r>
    </w:p>
    <w:p w14:paraId="4B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for rec in soil.depth_recommendations %}</w:t>
      </w:r>
    </w:p>
    <w:p w14:paraId="4C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- при «</w:t>
      </w:r>
      <w:r>
        <w:rPr>
          <w:rFonts w:ascii="Times New Roman" w:hAnsi="Times New Roman"/>
          <w:sz w:val="24"/>
          <w:highlight w:val="green"/>
        </w:rPr>
        <w:t>{{rec.category}}</w:t>
      </w:r>
      <w:r>
        <w:rPr>
          <w:rFonts w:ascii="Times New Roman" w:hAnsi="Times New Roman"/>
          <w:b w:val="0"/>
          <w:i w:val="0"/>
          <w:sz w:val="24"/>
        </w:rPr>
        <w:t>» категории загрязнения (</w:t>
      </w:r>
      <w:r>
        <w:rPr>
          <w:rFonts w:ascii="Times New Roman" w:hAnsi="Times New Roman"/>
          <w:sz w:val="24"/>
          <w:highlight w:val="green"/>
        </w:rPr>
        <w:t>{{rec.depth_range}}</w:t>
      </w:r>
      <w:r>
        <w:rPr>
          <w:rFonts w:ascii="Times New Roman" w:hAnsi="Times New Roman"/>
          <w:b w:val="0"/>
          <w:i w:val="0"/>
          <w:sz w:val="24"/>
        </w:rPr>
        <w:t xml:space="preserve">) – </w:t>
      </w:r>
      <w:r>
        <w:rPr>
          <w:rFonts w:ascii="Times New Roman" w:hAnsi="Times New Roman"/>
          <w:sz w:val="24"/>
          <w:highlight w:val="green"/>
        </w:rPr>
        <w:t>{{rec.recommendation}}</w:t>
      </w:r>
      <w:r>
        <w:rPr>
          <w:rFonts w:ascii="Times New Roman" w:hAnsi="Times New Roman"/>
          <w:b w:val="0"/>
          <w:i w:val="0"/>
          <w:sz w:val="24"/>
        </w:rPr>
        <w:t>;</w:t>
      </w:r>
    </w:p>
    <w:p w14:paraId="4D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endfor %}</w:t>
      </w:r>
    </w:p>
    <w:p w14:paraId="4E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 xml:space="preserve">Результаты инженерно-экологических изысканий представлены в томе Отчета по результатам инженерно-экологических изысканий </w:t>
      </w:r>
      <w:r>
        <w:rPr>
          <w:rFonts w:ascii="Times New Roman" w:hAnsi="Times New Roman"/>
          <w:b w:val="0"/>
          <w:i w:val="0"/>
          <w:sz w:val="24"/>
          <w:shd w:fill="4BF357" w:val="clear"/>
        </w:rPr>
        <w:t>{{soil.cipher}}</w:t>
      </w:r>
      <w:r>
        <w:rPr>
          <w:rFonts w:ascii="Times New Roman" w:hAnsi="Times New Roman"/>
          <w:b w:val="0"/>
          <w:i w:val="0"/>
          <w:sz w:val="24"/>
        </w:rPr>
        <w:t>.</w:t>
      </w:r>
    </w:p>
    <w:p w14:paraId="4F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2.1.5. Характер землепользования района проектирования</w:t>
      </w:r>
    </w:p>
    <w:p w14:paraId="50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shd w:fill="4BF357" w:val="clear"/>
        </w:rPr>
        <w:t>{{name_nominative_short</w:t>
      </w:r>
      <w:r>
        <w:rPr>
          <w:rFonts w:ascii="Times New Roman" w:hAnsi="Times New Roman"/>
          <w:sz w:val="24"/>
          <w:shd w:fill="4BF357" w:val="clear"/>
        </w:rPr>
        <w:t xml:space="preserve"> </w:t>
      </w:r>
      <w:r>
        <w:rPr>
          <w:shd w:fill="4BF357" w:val="clear"/>
        </w:rPr>
        <w:t>| capitalize</w:t>
      </w:r>
      <w:r>
        <w:rPr>
          <w:rFonts w:ascii="Times New Roman" w:hAnsi="Times New Roman"/>
          <w:sz w:val="24"/>
          <w:shd w:fill="4BF357" w:val="clear"/>
        </w:rPr>
        <w:t>}</w:t>
      </w:r>
      <w:r>
        <w:rPr>
          <w:rFonts w:ascii="Times New Roman" w:hAnsi="Times New Roman"/>
          <w:sz w:val="24"/>
          <w:shd w:fill="4BF357" w:val="clear"/>
        </w:rPr>
        <w:t>}</w:t>
      </w:r>
      <w:r>
        <w:rPr>
          <w:rFonts w:ascii="Times New Roman" w:hAnsi="Times New Roman"/>
          <w:b w:val="0"/>
          <w:i w:val="0"/>
          <w:sz w:val="24"/>
        </w:rPr>
        <w:t xml:space="preserve"> планируется к размещению на участке с кадастровым номером </w:t>
      </w:r>
      <w:r>
        <w:rPr>
          <w:rFonts w:ascii="Times New Roman" w:hAnsi="Times New Roman"/>
          <w:sz w:val="24"/>
          <w:highlight w:val="green"/>
        </w:rPr>
        <w:t>{{land_plot.cadastral_number}}</w:t>
      </w:r>
      <w:r>
        <w:rPr>
          <w:rFonts w:ascii="Times New Roman" w:hAnsi="Times New Roman"/>
          <w:b w:val="0"/>
          <w:i w:val="0"/>
          <w:sz w:val="24"/>
        </w:rPr>
        <w:t xml:space="preserve">, категория земель – </w:t>
      </w:r>
      <w:r>
        <w:rPr>
          <w:rFonts w:ascii="Times New Roman" w:hAnsi="Times New Roman"/>
          <w:sz w:val="24"/>
          <w:highlight w:val="green"/>
        </w:rPr>
        <w:t>{{land_plot.land_category}}</w:t>
      </w:r>
      <w:r>
        <w:rPr>
          <w:rFonts w:ascii="Times New Roman" w:hAnsi="Times New Roman"/>
          <w:b w:val="0"/>
          <w:i w:val="0"/>
          <w:sz w:val="24"/>
        </w:rPr>
        <w:t xml:space="preserve">, вид разрешенного использования – </w:t>
      </w:r>
      <w:r>
        <w:rPr>
          <w:rFonts w:ascii="Times New Roman" w:hAnsi="Times New Roman"/>
          <w:sz w:val="24"/>
          <w:highlight w:val="green"/>
        </w:rPr>
        <w:t>{{land_plot.permitted_use}}</w:t>
      </w:r>
      <w:r>
        <w:rPr>
          <w:rFonts w:ascii="Times New Roman" w:hAnsi="Times New Roman"/>
          <w:b w:val="0"/>
          <w:i w:val="0"/>
          <w:sz w:val="24"/>
        </w:rPr>
        <w:t xml:space="preserve">. Площадь земельного участка </w:t>
      </w:r>
      <w:r>
        <w:rPr>
          <w:rFonts w:ascii="Times New Roman" w:hAnsi="Times New Roman"/>
          <w:sz w:val="24"/>
          <w:highlight w:val="green"/>
        </w:rPr>
        <w:t>{{land_plot.area_sqm}}</w:t>
      </w:r>
      <w:r>
        <w:rPr>
          <w:rFonts w:ascii="Times New Roman" w:hAnsi="Times New Roman"/>
          <w:b w:val="0"/>
          <w:i w:val="0"/>
          <w:sz w:val="24"/>
        </w:rPr>
        <w:t xml:space="preserve"> кв.м.</w:t>
      </w:r>
    </w:p>
    <w:p w14:paraId="51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{{land_use.site_condition}}</w:t>
      </w:r>
    </w:p>
    <w:p w14:paraId="52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{{land_use.restrictions_text}}</w:t>
      </w:r>
    </w:p>
    <w:p w14:paraId="53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land_use.zouit_list %}</w:t>
      </w:r>
    </w:p>
    <w:p w14:paraId="54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Согласно данным Геоинформационного портала НСПД в границы участка попадают следующие ЗОУИТ:</w:t>
      </w:r>
    </w:p>
    <w:p w14:paraId="55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for zouit in land_use.zouit_list %}</w:t>
      </w:r>
    </w:p>
    <w:p w14:paraId="56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sz w:val="24"/>
          <w:highlight w:val="green"/>
        </w:rPr>
        <w:t>{{zouit}}</w:t>
      </w:r>
    </w:p>
    <w:p w14:paraId="57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endfor %}</w:t>
      </w:r>
    </w:p>
    <w:p w14:paraId="58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59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land_use.absence_items %}</w:t>
      </w:r>
    </w:p>
    <w:p w14:paraId="5A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На участке производства работ отсутствуют:</w:t>
      </w:r>
    </w:p>
    <w:p w14:paraId="5B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for item in land_use.absence_items %}</w:t>
      </w:r>
    </w:p>
    <w:p w14:paraId="5C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sz w:val="24"/>
          <w:highlight w:val="green"/>
        </w:rPr>
        <w:t>{{item}}</w:t>
      </w:r>
      <w:r>
        <w:rPr>
          <w:rFonts w:ascii="Times New Roman" w:hAnsi="Times New Roman"/>
          <w:b w:val="0"/>
          <w:i w:val="0"/>
          <w:sz w:val="24"/>
        </w:rPr>
        <w:t>;</w:t>
      </w:r>
    </w:p>
    <w:p w14:paraId="5D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endfor %}</w:t>
      </w:r>
    </w:p>
    <w:p w14:paraId="5E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5F000000">
      <w:pPr>
        <w:widowControl w:val="1"/>
        <w:spacing w:after="0"/>
        <w:ind/>
        <w:rPr>
          <w:rFonts w:ascii="Times New Roman" w:hAnsi="Times New Roman"/>
          <w:color w:val="80808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Препятствий против использования земельного участка для нужд размещения объекта проектирования не выявлено. </w:t>
      </w:r>
    </w:p>
    <w:p w14:paraId="60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2.1.6. Техногенное нарушение территории</w:t>
      </w:r>
    </w:p>
    <w:p w14:paraId="61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{{technogenic.description}}</w:t>
      </w:r>
    </w:p>
    <w:p w14:paraId="62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technogenic.topsoil_not_fertile %}</w:t>
      </w:r>
    </w:p>
    <w:p w14:paraId="63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{{technogenic.topsoil_description}}</w:t>
      </w:r>
    </w:p>
    <w:p w14:paraId="64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65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Проектом предусмотрено восстановление нарушенных покрытий в полном объеме, благоустройство территории.</w:t>
      </w:r>
    </w:p>
    <w:p w14:paraId="66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2.1.7. Физические факторы воздействия</w:t>
      </w:r>
    </w:p>
    <w:p w14:paraId="67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{{physical_factors.noise_description}}</w:t>
      </w:r>
    </w:p>
    <w:p w14:paraId="68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Измеренные эквивалентные и максимальные уровни звука не превышают допустимые значения, установленных СанПиН 1.2.3685-21.</w:t>
      </w:r>
    </w:p>
    <w:p w14:paraId="69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{{physical_factors.emf_description}}</w:t>
      </w:r>
    </w:p>
    <w:p w14:paraId="6A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Измеренные уровни электрического и магнитного поля соответствуют требованиям СанПиН 1.2.3685-21.</w:t>
      </w:r>
    </w:p>
    <w:p w14:paraId="6B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physical_factors.vibration_description %}</w:t>
      </w:r>
    </w:p>
    <w:p w14:paraId="6C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{{physical_factors.vibration_description}}</w:t>
      </w:r>
    </w:p>
    <w:p w14:paraId="6D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Измеренный уровень общей вибрации соответствует требованиям СанПиН 1.2.3685-21.</w:t>
      </w:r>
    </w:p>
    <w:p w14:paraId="6E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6F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2.2. Воздействие объекта проектирования на территорию, условия землепользования и геологическую среду</w:t>
      </w:r>
    </w:p>
    <w:p w14:paraId="70000000">
      <w:pPr>
        <w:widowControl w:val="1"/>
        <w:spacing w:after="0"/>
        <w:ind w:firstLine="709"/>
        <w:rPr>
          <w:rFonts w:ascii="JetBrains Mono" w:hAnsi="JetBrains Mono"/>
          <w:color w:val="080808"/>
          <w:highlight w:val="white"/>
        </w:rPr>
      </w:pPr>
      <w:r>
        <w:rPr>
          <w:rFonts w:ascii="Times New Roman" w:hAnsi="Times New Roman"/>
          <w:b w:val="0"/>
          <w:i w:val="0"/>
          <w:sz w:val="24"/>
        </w:rPr>
        <w:t xml:space="preserve">Транспортировка грузов для </w:t>
      </w:r>
      <w:r>
        <w:rPr>
          <w:rFonts w:ascii="Times New Roman" w:hAnsi="Times New Roman"/>
          <w:sz w:val="24"/>
          <w:shd w:fill="4BF357" w:val="clear"/>
        </w:rPr>
        <w:t>{</w:t>
      </w:r>
      <w:r>
        <w:rPr>
          <w:rFonts w:ascii="Times New Roman" w:hAnsi="Times New Roman"/>
          <w:sz w:val="24"/>
          <w:shd w:fill="4BF357" w:val="clear"/>
        </w:rPr>
        <w:t>{</w:t>
      </w:r>
      <w:r>
        <w:rPr>
          <w:rFonts w:ascii="Times New Roman" w:hAnsi="Times New Roman"/>
          <w:color w:val="080808"/>
          <w:shd w:fill="4BF357" w:val="clear"/>
        </w:rPr>
        <w:t>name_genitive_short</w:t>
      </w:r>
      <w:r>
        <w:rPr>
          <w:rFonts w:ascii="Times New Roman" w:hAnsi="Times New Roman"/>
          <w:sz w:val="24"/>
          <w:shd w:fill="4BF357" w:val="clear"/>
        </w:rPr>
        <w:t>}}</w:t>
      </w:r>
      <w:r>
        <w:rPr>
          <w:rFonts w:ascii="Times New Roman" w:hAnsi="Times New Roman"/>
          <w:b w:val="0"/>
          <w:i w:val="0"/>
          <w:sz w:val="24"/>
        </w:rPr>
        <w:t xml:space="preserve"> в периоды </w:t>
      </w:r>
      <w:r>
        <w:rPr>
          <w:rFonts w:ascii="Times New Roman" w:hAnsi="Times New Roman"/>
          <w:sz w:val="24"/>
          <w:highlight w:val="green"/>
        </w:rPr>
        <w:t>{{type_of_work_genetive}}</w:t>
      </w:r>
      <w:r>
        <w:rPr>
          <w:rFonts w:ascii="Times New Roman" w:hAnsi="Times New Roman"/>
          <w:b w:val="0"/>
          <w:i w:val="0"/>
          <w:sz w:val="24"/>
        </w:rPr>
        <w:t xml:space="preserve"> и эксплуатации, предусматривается автомобильным транспортом с использованием существующих транспортных путей. В процессе </w:t>
      </w:r>
      <w:r>
        <w:rPr>
          <w:rFonts w:ascii="Times New Roman" w:hAnsi="Times New Roman"/>
          <w:sz w:val="24"/>
          <w:highlight w:val="green"/>
        </w:rPr>
        <w:t>{</w:t>
      </w:r>
      <w:r>
        <w:rPr>
          <w:rFonts w:ascii="Times New Roman" w:hAnsi="Times New Roman"/>
          <w:sz w:val="24"/>
          <w:highlight w:val="green"/>
        </w:rPr>
        <w:t>{type_of_work_genetive}}</w:t>
      </w:r>
      <w:r>
        <w:rPr>
          <w:rFonts w:ascii="Times New Roman" w:hAnsi="Times New Roman"/>
          <w:b w:val="0"/>
          <w:i w:val="0"/>
          <w:sz w:val="24"/>
        </w:rPr>
        <w:t xml:space="preserve"> и эксплуатации объекта необратимых негативных техногенных воздействий на территорию, условия землепользования и геологическую среду не прогнозируется. Планируемая деятельность не приведет к территориальному разобщению земель района и нарушению межхозяйственных и внутрихозяйственных связей различных землепользователей.</w:t>
      </w:r>
    </w:p>
    <w:p w14:paraId="71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2.3. Охрана недр</w:t>
      </w:r>
    </w:p>
    <w:p w14:paraId="72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 xml:space="preserve">Участок </w:t>
      </w:r>
      <w:r>
        <w:rPr>
          <w:rFonts w:ascii="Times New Roman" w:hAnsi="Times New Roman"/>
          <w:sz w:val="24"/>
          <w:shd w:fill="4BF357" w:val="clear"/>
        </w:rPr>
        <w:t>{{</w:t>
      </w:r>
      <w:r>
        <w:rPr>
          <w:rFonts w:ascii="Times New Roman" w:hAnsi="Times New Roman"/>
          <w:color w:val="080808"/>
          <w:shd w:fill="4BF357" w:val="clear"/>
        </w:rPr>
        <w:t>name_genitive_short</w:t>
      </w:r>
      <w:r>
        <w:rPr>
          <w:rFonts w:ascii="Times New Roman" w:hAnsi="Times New Roman"/>
          <w:sz w:val="24"/>
          <w:shd w:fill="4BF357" w:val="clear"/>
        </w:rPr>
        <w:t>}}</w:t>
      </w:r>
      <w:r>
        <w:rPr>
          <w:rFonts w:ascii="Times New Roman" w:hAnsi="Times New Roman"/>
          <w:b w:val="0"/>
          <w:i w:val="0"/>
          <w:sz w:val="24"/>
        </w:rPr>
        <w:t xml:space="preserve"> расположен в границах населенного пункта - </w:t>
      </w:r>
      <w:r>
        <w:rPr>
          <w:rFonts w:ascii="Times New Roman" w:hAnsi="Times New Roman"/>
          <w:sz w:val="24"/>
          <w:highlight w:val="green"/>
        </w:rPr>
        <w:t>{{subsoil.locality_name}}</w:t>
      </w:r>
      <w:r>
        <w:rPr>
          <w:rFonts w:ascii="Times New Roman" w:hAnsi="Times New Roman"/>
          <w:b w:val="0"/>
          <w:i w:val="0"/>
          <w:sz w:val="24"/>
        </w:rPr>
        <w:t>.</w:t>
      </w:r>
    </w:p>
    <w:p w14:paraId="73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Согласно п. п. 46 а Административного регламента № 161, для участков предстоящей застройки, расположенных в границах населенного пункта, получение заключения об отсутствии полезных ископаемых в недрах под участком предстоящей застройки не требуется.</w:t>
      </w:r>
    </w:p>
    <w:p w14:paraId="74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subsoil.rosnedra_info %}</w:t>
      </w:r>
    </w:p>
    <w:p w14:paraId="75000000">
      <w:pPr>
        <w:widowControl w:val="1"/>
        <w:spacing w:after="0"/>
        <w:ind w:firstLine="709"/>
      </w:pPr>
      <w:r>
        <w:rPr>
          <w:rFonts w:ascii="Times New Roman" w:hAnsi="Times New Roman"/>
          <w:sz w:val="24"/>
          <w:highlight w:val="green"/>
        </w:rPr>
        <w:t>{{subsoil.rosnedra_info}}</w:t>
      </w:r>
    </w:p>
    <w:p w14:paraId="76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p w14:paraId="77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Таким образом, отсутствует необходимость в проведении специальных мероприятий по охране недр.</w:t>
      </w:r>
    </w:p>
    <w:p w14:paraId="78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2.4. Оценка воздействия на изменение транспортных условий района расположения проектируемого объекта</w:t>
      </w:r>
    </w:p>
    <w:p w14:paraId="79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 xml:space="preserve">Планируемая деятельность не приведет к территориальному разобщению района и нарушению межхозяйственных и внутрихозяйственных связей. </w:t>
      </w:r>
      <w:r>
        <w:rPr>
          <w:rFonts w:ascii="Times New Roman" w:hAnsi="Times New Roman"/>
          <w:sz w:val="24"/>
          <w:highlight w:val="green"/>
        </w:rPr>
        <w:t>{{ТИП_РАБОТ | capitalize}}</w:t>
      </w:r>
      <w:r>
        <w:rPr>
          <w:rFonts w:ascii="Times New Roman" w:hAnsi="Times New Roman"/>
          <w:b w:val="0"/>
          <w:i w:val="0"/>
          <w:sz w:val="24"/>
        </w:rPr>
        <w:t xml:space="preserve"> и эксплуатация </w:t>
      </w:r>
      <w:r>
        <w:rPr>
          <w:rFonts w:ascii="Times New Roman" w:hAnsi="Times New Roman"/>
          <w:sz w:val="24"/>
          <w:highlight w:val="green"/>
        </w:rPr>
        <w:t>{{</w:t>
      </w:r>
      <w:r>
        <w:rPr>
          <w:rFonts w:ascii="Times New Roman" w:hAnsi="Times New Roman"/>
          <w:sz w:val="24"/>
          <w:highlight w:val="green"/>
        </w:rPr>
        <w:t>name_genitive_short</w:t>
      </w:r>
      <w:r>
        <w:rPr>
          <w:rFonts w:ascii="Times New Roman" w:hAnsi="Times New Roman"/>
          <w:sz w:val="24"/>
          <w:highlight w:val="green"/>
        </w:rPr>
        <w:t>}}</w:t>
      </w:r>
      <w:r>
        <w:rPr>
          <w:rFonts w:ascii="Times New Roman" w:hAnsi="Times New Roman"/>
          <w:b w:val="0"/>
          <w:i w:val="0"/>
          <w:sz w:val="24"/>
        </w:rPr>
        <w:t xml:space="preserve"> не окажут воздействия на существующие транспортные условия района.</w:t>
      </w:r>
    </w:p>
    <w:p w14:paraId="7A000000">
      <w:pPr>
        <w:widowControl w:val="1"/>
        <w:spacing w:after="120" w:before="240"/>
        <w:ind/>
      </w:pPr>
      <w:r>
        <w:rPr>
          <w:rFonts w:ascii="Times New Roman" w:hAnsi="Times New Roman"/>
          <w:b w:val="1"/>
          <w:sz w:val="24"/>
        </w:rPr>
        <w:t>2.5. Мероприятия по охране и рациональному использованию земельных ресурсов и почвенного покрова</w:t>
      </w:r>
    </w:p>
    <w:p w14:paraId="7B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Проектом предусмотрено выполнение следующих природоохранных мероприятий:</w:t>
      </w:r>
    </w:p>
    <w:p w14:paraId="7C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• своевременная организованная уборка и вывоз отходов;</w:t>
      </w:r>
    </w:p>
    <w:p w14:paraId="7D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• благоустройство нарушенных территорий;</w:t>
      </w:r>
    </w:p>
    <w:p w14:paraId="7E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>• ведение строительных работ строго в границах землеотвода.</w:t>
      </w:r>
    </w:p>
    <w:p w14:paraId="7F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if measures.additional_items %}</w:t>
      </w:r>
    </w:p>
    <w:p w14:paraId="80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for item in measures.additional_items %}</w:t>
      </w:r>
    </w:p>
    <w:p w14:paraId="81000000">
      <w:pPr>
        <w:widowControl w:val="1"/>
        <w:spacing w:after="0"/>
        <w:ind w:firstLine="709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sz w:val="24"/>
          <w:highlight w:val="green"/>
        </w:rPr>
        <w:t>{{item}}</w:t>
      </w:r>
      <w:r>
        <w:rPr>
          <w:rFonts w:ascii="Times New Roman" w:hAnsi="Times New Roman"/>
          <w:b w:val="0"/>
          <w:i w:val="0"/>
          <w:sz w:val="24"/>
        </w:rPr>
        <w:t>;</w:t>
      </w:r>
    </w:p>
    <w:p w14:paraId="82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endfor %}</w:t>
      </w:r>
    </w:p>
    <w:p w14:paraId="83000000">
      <w:pPr>
        <w:widowControl w:val="1"/>
        <w:spacing w:after="0"/>
        <w:ind/>
      </w:pPr>
      <w:r>
        <w:rPr>
          <w:rFonts w:ascii="Times New Roman" w:hAnsi="Times New Roman"/>
          <w:color w:val="808080"/>
          <w:sz w:val="24"/>
        </w:rPr>
        <w:t>{%p endif %}</w:t>
      </w:r>
    </w:p>
    <w:sectPr>
      <w:pgSz w:h="15840" w:orient="portrait" w:w="12240"/>
      <w:pgMar w:bottom="1440" w:footer="720" w:gutter="0" w:header="720" w:left="1800" w:right="180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1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1">
    <w:lvl w:ilvl="0">
      <w:start w:val="1"/>
      <w:numFmt w:val="bullet"/>
      <w:pStyle w:val="Style_13"/>
      <w:suff w:val="tab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2">
    <w:lvl w:ilvl="0">
      <w:start w:val="1"/>
      <w:numFmt w:val="bullet"/>
      <w:pStyle w:val="Style_19"/>
      <w:suff w:val="tab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3">
    <w:lvl w:ilvl="0">
      <w:start w:val="1"/>
      <w:numFmt w:val="decimal"/>
      <w:pStyle w:val="Style_28"/>
      <w:suff w:val="tab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abstractNum w:abstractNumId="4">
    <w:lvl w:ilvl="0">
      <w:start w:val="1"/>
      <w:numFmt w:val="decimal"/>
      <w:pStyle w:val="Style_31"/>
      <w:suff w:val="tab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5">
    <w:lvl w:ilvl="0">
      <w:start w:val="1"/>
      <w:numFmt w:val="bullet"/>
      <w:pStyle w:val="Style_34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rPr>
      <w:rFonts w:ascii="Times New Roman" w:hAnsi="Times New Roman"/>
      <w:sz w:val="24"/>
    </w:rPr>
  </w:style>
  <w:style w:default="1" w:styleId="Style_2_ch" w:type="character">
    <w:name w:val="Normal"/>
    <w:link w:val="Style_2"/>
    <w:rPr>
      <w:rFonts w:ascii="Times New Roman" w:hAnsi="Times New Roman"/>
      <w:sz w:val="24"/>
    </w:rPr>
  </w:style>
  <w:style w:styleId="Style_3" w:type="paragraph">
    <w:name w:val="macro"/>
    <w:link w:val="Style_3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3_ch" w:type="character">
    <w:name w:val="macro"/>
    <w:link w:val="Style_3"/>
    <w:rPr>
      <w:rFonts w:ascii="Courier" w:hAnsi="Courier"/>
      <w:sz w:val="20"/>
    </w:rPr>
  </w:style>
  <w:style w:styleId="Style_4" w:type="paragraph">
    <w:name w:val="toc 2"/>
    <w:next w:val="Style_2"/>
    <w:link w:val="Style_4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2"/>
    <w:link w:val="Style_5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List 2"/>
    <w:basedOn w:val="Style_2"/>
    <w:link w:val="Style_6_ch"/>
    <w:pPr>
      <w:widowControl w:val="1"/>
      <w:ind w:hanging="360" w:left="720"/>
      <w:contextualSpacing w:val="1"/>
    </w:pPr>
  </w:style>
  <w:style w:styleId="Style_6_ch" w:type="character">
    <w:name w:val="List 2"/>
    <w:basedOn w:val="Style_2_ch"/>
    <w:link w:val="Style_6"/>
  </w:style>
  <w:style w:styleId="Style_7" w:type="paragraph">
    <w:name w:val="heading 7"/>
    <w:basedOn w:val="Style_2"/>
    <w:next w:val="Style_2"/>
    <w:link w:val="Style_7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7_ch" w:type="character">
    <w:name w:val="heading 7"/>
    <w:basedOn w:val="Style_2_ch"/>
    <w:link w:val="Style_7"/>
    <w:rPr>
      <w:rFonts w:asciiTheme="majorAscii" w:hAnsiTheme="majorHAnsi"/>
      <w:i w:val="1"/>
      <w:color w:themeColor="text1" w:themeTint="BF" w:val="404040"/>
    </w:rPr>
  </w:style>
  <w:style w:styleId="Style_8" w:type="paragraph">
    <w:name w:val="toc 6"/>
    <w:next w:val="Style_2"/>
    <w:link w:val="Style_8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List Continue 2"/>
    <w:basedOn w:val="Style_2"/>
    <w:link w:val="Style_9_ch"/>
    <w:pPr>
      <w:widowControl w:val="1"/>
      <w:spacing w:after="120"/>
      <w:ind w:left="720"/>
      <w:contextualSpacing w:val="1"/>
    </w:pPr>
  </w:style>
  <w:style w:styleId="Style_9_ch" w:type="character">
    <w:name w:val="List Continue 2"/>
    <w:basedOn w:val="Style_2_ch"/>
    <w:link w:val="Style_9"/>
  </w:style>
  <w:style w:styleId="Style_10" w:type="paragraph">
    <w:name w:val="toc 7"/>
    <w:next w:val="Style_2"/>
    <w:link w:val="Style_10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List Number 2"/>
    <w:basedOn w:val="Style_2"/>
    <w:link w:val="Style_11_ch"/>
    <w:pPr>
      <w:widowControl w:val="1"/>
      <w:numPr>
        <w:numId w:val="1"/>
      </w:numPr>
      <w:ind/>
      <w:contextualSpacing w:val="1"/>
    </w:pPr>
  </w:style>
  <w:style w:styleId="Style_11_ch" w:type="character">
    <w:name w:val="List Number 2"/>
    <w:basedOn w:val="Style_2_ch"/>
    <w:link w:val="Style_11"/>
  </w:style>
  <w:style w:styleId="Style_12" w:type="paragraph">
    <w:name w:val="List"/>
    <w:basedOn w:val="Style_2"/>
    <w:link w:val="Style_12_ch"/>
    <w:pPr>
      <w:widowControl w:val="1"/>
      <w:ind w:hanging="360" w:left="360"/>
      <w:contextualSpacing w:val="1"/>
    </w:pPr>
  </w:style>
  <w:style w:styleId="Style_12_ch" w:type="character">
    <w:name w:val="List"/>
    <w:basedOn w:val="Style_2_ch"/>
    <w:link w:val="Style_12"/>
  </w:style>
  <w:style w:styleId="Style_13" w:type="paragraph">
    <w:name w:val="List Bullet"/>
    <w:basedOn w:val="Style_2"/>
    <w:link w:val="Style_13_ch"/>
    <w:pPr>
      <w:widowControl w:val="1"/>
      <w:numPr>
        <w:numId w:val="2"/>
      </w:numPr>
      <w:ind/>
      <w:contextualSpacing w:val="1"/>
    </w:pPr>
  </w:style>
  <w:style w:styleId="Style_13_ch" w:type="character">
    <w:name w:val="List Bullet"/>
    <w:basedOn w:val="Style_2_ch"/>
    <w:link w:val="Style_13"/>
  </w:style>
  <w:style w:styleId="Style_14" w:type="paragraph">
    <w:name w:val="Endnote"/>
    <w:link w:val="Style_14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Endnote"/>
    <w:link w:val="Style_14"/>
    <w:rPr>
      <w:rFonts w:ascii="XO Thames" w:hAnsi="XO Thames"/>
      <w:sz w:val="22"/>
    </w:rPr>
  </w:style>
  <w:style w:styleId="Style_15" w:type="paragraph">
    <w:name w:val="heading 3"/>
    <w:basedOn w:val="Style_2"/>
    <w:next w:val="Style_2"/>
    <w:link w:val="Style_15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5_ch" w:type="character">
    <w:name w:val="heading 3"/>
    <w:basedOn w:val="Style_2_ch"/>
    <w:link w:val="Style_15"/>
    <w:rPr>
      <w:rFonts w:asciiTheme="majorAscii" w:hAnsiTheme="majorHAnsi"/>
      <w:b w:val="1"/>
      <w:color w:themeColor="accent1" w:val="4F81BD"/>
    </w:rPr>
  </w:style>
  <w:style w:styleId="Style_16" w:type="paragraph">
    <w:name w:val="Intense Emphasis"/>
    <w:basedOn w:val="Style_17"/>
    <w:link w:val="Style_16_ch"/>
    <w:rPr>
      <w:b w:val="1"/>
      <w:i w:val="1"/>
      <w:color w:themeColor="accent1" w:val="4F81BD"/>
    </w:rPr>
  </w:style>
  <w:style w:styleId="Style_16_ch" w:type="character">
    <w:name w:val="Intense Emphasis"/>
    <w:basedOn w:val="Style_17_ch"/>
    <w:link w:val="Style_16"/>
    <w:rPr>
      <w:b w:val="1"/>
      <w:i w:val="1"/>
      <w:color w:themeColor="accent1" w:val="4F81BD"/>
    </w:rPr>
  </w:style>
  <w:style w:styleId="Style_18" w:type="paragraph">
    <w:name w:val="Subtle Emphasis"/>
    <w:basedOn w:val="Style_17"/>
    <w:link w:val="Style_18_ch"/>
    <w:rPr>
      <w:i w:val="1"/>
      <w:color w:themeColor="text1" w:themeTint="7F" w:val="808080"/>
    </w:rPr>
  </w:style>
  <w:style w:styleId="Style_18_ch" w:type="character">
    <w:name w:val="Subtle Emphasis"/>
    <w:basedOn w:val="Style_17_ch"/>
    <w:link w:val="Style_18"/>
    <w:rPr>
      <w:i w:val="1"/>
      <w:color w:themeColor="text1" w:themeTint="7F" w:val="808080"/>
    </w:rPr>
  </w:style>
  <w:style w:styleId="Style_19" w:type="paragraph">
    <w:name w:val="List Bullet 3"/>
    <w:basedOn w:val="Style_2"/>
    <w:link w:val="Style_19_ch"/>
    <w:pPr>
      <w:widowControl w:val="1"/>
      <w:numPr>
        <w:numId w:val="3"/>
      </w:numPr>
      <w:ind/>
      <w:contextualSpacing w:val="1"/>
    </w:pPr>
  </w:style>
  <w:style w:styleId="Style_19_ch" w:type="character">
    <w:name w:val="List Bullet 3"/>
    <w:basedOn w:val="Style_2_ch"/>
    <w:link w:val="Style_19"/>
  </w:style>
  <w:style w:styleId="Style_20" w:type="paragraph">
    <w:name w:val="List 3"/>
    <w:basedOn w:val="Style_2"/>
    <w:link w:val="Style_20_ch"/>
    <w:pPr>
      <w:widowControl w:val="1"/>
      <w:ind w:hanging="360" w:left="1080"/>
      <w:contextualSpacing w:val="1"/>
    </w:pPr>
  </w:style>
  <w:style w:styleId="Style_20_ch" w:type="character">
    <w:name w:val="List 3"/>
    <w:basedOn w:val="Style_2_ch"/>
    <w:link w:val="Style_20"/>
  </w:style>
  <w:style w:styleId="Style_21" w:type="paragraph">
    <w:name w:val="Intense Quote"/>
    <w:basedOn w:val="Style_2"/>
    <w:next w:val="Style_2"/>
    <w:link w:val="Style_21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21_ch" w:type="character">
    <w:name w:val="Intense Quote"/>
    <w:basedOn w:val="Style_2_ch"/>
    <w:link w:val="Style_21"/>
    <w:rPr>
      <w:b w:val="1"/>
      <w:i w:val="1"/>
      <w:color w:themeColor="accent1" w:val="4F81BD"/>
    </w:rPr>
  </w:style>
  <w:style w:styleId="Style_22" w:type="paragraph">
    <w:name w:val="TOC Heading"/>
    <w:basedOn w:val="Style_23"/>
    <w:next w:val="Style_2"/>
    <w:link w:val="Style_22_ch"/>
    <w:pPr>
      <w:widowControl w:val="1"/>
      <w:ind/>
      <w:outlineLvl w:val="8"/>
    </w:pPr>
  </w:style>
  <w:style w:styleId="Style_22_ch" w:type="character">
    <w:name w:val="TOC Heading"/>
    <w:basedOn w:val="Style_23_ch"/>
    <w:link w:val="Style_22"/>
  </w:style>
  <w:style w:styleId="Style_24" w:type="paragraph">
    <w:name w:val="heading 9"/>
    <w:basedOn w:val="Style_2"/>
    <w:next w:val="Style_2"/>
    <w:link w:val="Style_24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4_ch" w:type="character">
    <w:name w:val="heading 9"/>
    <w:basedOn w:val="Style_2_ch"/>
    <w:link w:val="Style_24"/>
    <w:rPr>
      <w:rFonts w:asciiTheme="majorAscii" w:hAnsiTheme="majorHAnsi"/>
      <w:i w:val="1"/>
      <w:color w:themeColor="text1" w:themeTint="BF" w:val="404040"/>
      <w:sz w:val="20"/>
    </w:rPr>
  </w:style>
  <w:style w:styleId="Style_25" w:type="paragraph">
    <w:name w:val="header"/>
    <w:basedOn w:val="Style_2"/>
    <w:link w:val="Style_25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25_ch" w:type="character">
    <w:name w:val="header"/>
    <w:basedOn w:val="Style_2_ch"/>
    <w:link w:val="Style_25"/>
  </w:style>
  <w:style w:styleId="Style_26" w:type="paragraph">
    <w:name w:val="Emphasis"/>
    <w:basedOn w:val="Style_17"/>
    <w:link w:val="Style_26_ch"/>
    <w:rPr>
      <w:i w:val="1"/>
    </w:rPr>
  </w:style>
  <w:style w:styleId="Style_26_ch" w:type="character">
    <w:name w:val="Emphasis"/>
    <w:basedOn w:val="Style_17_ch"/>
    <w:link w:val="Style_26"/>
    <w:rPr>
      <w:i w:val="1"/>
    </w:rPr>
  </w:style>
  <w:style w:styleId="Style_27" w:type="paragraph">
    <w:name w:val="Body Text 3"/>
    <w:basedOn w:val="Style_2"/>
    <w:link w:val="Style_27_ch"/>
    <w:pPr>
      <w:widowControl w:val="1"/>
      <w:spacing w:after="120"/>
      <w:ind/>
    </w:pPr>
    <w:rPr>
      <w:sz w:val="16"/>
    </w:rPr>
  </w:style>
  <w:style w:styleId="Style_27_ch" w:type="character">
    <w:name w:val="Body Text 3"/>
    <w:basedOn w:val="Style_2_ch"/>
    <w:link w:val="Style_27"/>
    <w:rPr>
      <w:sz w:val="16"/>
    </w:rPr>
  </w:style>
  <w:style w:styleId="Style_28" w:type="paragraph">
    <w:name w:val="List Number 3"/>
    <w:basedOn w:val="Style_2"/>
    <w:link w:val="Style_28_ch"/>
    <w:pPr>
      <w:widowControl w:val="1"/>
      <w:numPr>
        <w:numId w:val="4"/>
      </w:numPr>
      <w:ind/>
      <w:contextualSpacing w:val="1"/>
    </w:pPr>
  </w:style>
  <w:style w:styleId="Style_28_ch" w:type="character">
    <w:name w:val="List Number 3"/>
    <w:basedOn w:val="Style_2_ch"/>
    <w:link w:val="Style_28"/>
  </w:style>
  <w:style w:styleId="Style_29" w:type="paragraph">
    <w:name w:val="toc 3"/>
    <w:next w:val="Style_2"/>
    <w:link w:val="Style_29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9_ch" w:type="character">
    <w:name w:val="toc 3"/>
    <w:link w:val="Style_29"/>
    <w:rPr>
      <w:rFonts w:ascii="XO Thames" w:hAnsi="XO Thames"/>
      <w:sz w:val="28"/>
    </w:rPr>
  </w:style>
  <w:style w:styleId="Style_30" w:type="paragraph">
    <w:name w:val="Quote"/>
    <w:basedOn w:val="Style_2"/>
    <w:next w:val="Style_2"/>
    <w:link w:val="Style_30_ch"/>
    <w:rPr>
      <w:i w:val="1"/>
      <w:color w:themeColor="text1" w:val="000000"/>
    </w:rPr>
  </w:style>
  <w:style w:styleId="Style_30_ch" w:type="character">
    <w:name w:val="Quote"/>
    <w:basedOn w:val="Style_2_ch"/>
    <w:link w:val="Style_30"/>
    <w:rPr>
      <w:i w:val="1"/>
      <w:color w:themeColor="text1" w:val="000000"/>
    </w:rPr>
  </w:style>
  <w:style w:styleId="Style_31" w:type="paragraph">
    <w:name w:val="List Number"/>
    <w:basedOn w:val="Style_2"/>
    <w:link w:val="Style_31_ch"/>
    <w:pPr>
      <w:widowControl w:val="1"/>
      <w:numPr>
        <w:numId w:val="5"/>
      </w:numPr>
      <w:ind/>
      <w:contextualSpacing w:val="1"/>
    </w:pPr>
  </w:style>
  <w:style w:styleId="Style_31_ch" w:type="character">
    <w:name w:val="List Number"/>
    <w:basedOn w:val="Style_2_ch"/>
    <w:link w:val="Style_31"/>
  </w:style>
  <w:style w:styleId="Style_32" w:type="paragraph">
    <w:name w:val="Body Text"/>
    <w:basedOn w:val="Style_2"/>
    <w:link w:val="Style_32_ch"/>
    <w:pPr>
      <w:widowControl w:val="1"/>
      <w:spacing w:after="120"/>
      <w:ind/>
    </w:pPr>
  </w:style>
  <w:style w:styleId="Style_32_ch" w:type="character">
    <w:name w:val="Body Text"/>
    <w:basedOn w:val="Style_2_ch"/>
    <w:link w:val="Style_32"/>
  </w:style>
  <w:style w:styleId="Style_33" w:type="paragraph">
    <w:name w:val="Body Text 2"/>
    <w:basedOn w:val="Style_2"/>
    <w:link w:val="Style_33_ch"/>
    <w:pPr>
      <w:widowControl w:val="1"/>
      <w:spacing w:after="120" w:line="480" w:lineRule="auto"/>
      <w:ind/>
    </w:pPr>
  </w:style>
  <w:style w:styleId="Style_33_ch" w:type="character">
    <w:name w:val="Body Text 2"/>
    <w:basedOn w:val="Style_2_ch"/>
    <w:link w:val="Style_33"/>
  </w:style>
  <w:style w:styleId="Style_34" w:type="paragraph">
    <w:name w:val="List Bullet 2"/>
    <w:basedOn w:val="Style_2"/>
    <w:link w:val="Style_34_ch"/>
    <w:pPr>
      <w:widowControl w:val="1"/>
      <w:numPr>
        <w:numId w:val="6"/>
      </w:numPr>
      <w:ind/>
      <w:contextualSpacing w:val="1"/>
    </w:pPr>
  </w:style>
  <w:style w:styleId="Style_34_ch" w:type="character">
    <w:name w:val="List Bullet 2"/>
    <w:basedOn w:val="Style_2_ch"/>
    <w:link w:val="Style_34"/>
  </w:style>
  <w:style w:styleId="Style_35" w:type="paragraph">
    <w:name w:val="Subtle Reference"/>
    <w:basedOn w:val="Style_17"/>
    <w:link w:val="Style_35_ch"/>
    <w:rPr>
      <w:smallCaps w:val="1"/>
      <w:color w:themeColor="accent2" w:val="C0504D"/>
      <w:u w:val="single"/>
    </w:rPr>
  </w:style>
  <w:style w:styleId="Style_35_ch" w:type="character">
    <w:name w:val="Subtle Reference"/>
    <w:basedOn w:val="Style_17_ch"/>
    <w:link w:val="Style_35"/>
    <w:rPr>
      <w:smallCaps w:val="1"/>
      <w:color w:themeColor="accent2" w:val="C0504D"/>
      <w:u w:val="single"/>
    </w:rPr>
  </w:style>
  <w:style w:styleId="Style_36" w:type="paragraph">
    <w:name w:val="heading 5"/>
    <w:basedOn w:val="Style_2"/>
    <w:next w:val="Style_2"/>
    <w:link w:val="Style_36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6_ch" w:type="character">
    <w:name w:val="heading 5"/>
    <w:basedOn w:val="Style_2_ch"/>
    <w:link w:val="Style_36"/>
    <w:rPr>
      <w:rFonts w:asciiTheme="majorAscii" w:hAnsiTheme="majorHAnsi"/>
      <w:color w:themeColor="accent1" w:themeShade="7F" w:val="244061"/>
    </w:rPr>
  </w:style>
  <w:style w:styleId="Style_23" w:type="paragraph">
    <w:name w:val="heading 1"/>
    <w:basedOn w:val="Style_2"/>
    <w:next w:val="Style_2"/>
    <w:link w:val="Style_23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23_ch" w:type="character">
    <w:name w:val="heading 1"/>
    <w:basedOn w:val="Style_2_ch"/>
    <w:link w:val="Style_23"/>
    <w:rPr>
      <w:rFonts w:asciiTheme="majorAscii" w:hAnsiTheme="majorHAnsi"/>
      <w:b w:val="1"/>
      <w:color w:themeColor="accent1" w:themeShade="BF" w:val="376092"/>
      <w:sz w:val="28"/>
    </w:rPr>
  </w:style>
  <w:style w:styleId="Style_37" w:type="paragraph">
    <w:name w:val="Hyperlink"/>
    <w:link w:val="Style_37_ch"/>
    <w:rPr>
      <w:color w:val="0000FF"/>
      <w:u w:val="single"/>
    </w:rPr>
  </w:style>
  <w:style w:styleId="Style_37_ch" w:type="character">
    <w:name w:val="Hyperlink"/>
    <w:link w:val="Style_37"/>
    <w:rPr>
      <w:color w:val="0000FF"/>
      <w:u w:val="single"/>
    </w:rPr>
  </w:style>
  <w:style w:styleId="Style_38" w:type="paragraph">
    <w:name w:val="Footnote"/>
    <w:link w:val="Style_3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8_ch" w:type="character">
    <w:name w:val="Footnote"/>
    <w:link w:val="Style_38"/>
    <w:rPr>
      <w:rFonts w:ascii="XO Thames" w:hAnsi="XO Thames"/>
      <w:sz w:val="22"/>
    </w:rPr>
  </w:style>
  <w:style w:styleId="Style_39" w:type="paragraph">
    <w:name w:val="heading 8"/>
    <w:basedOn w:val="Style_2"/>
    <w:next w:val="Style_2"/>
    <w:link w:val="Style_39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9_ch" w:type="character">
    <w:name w:val="heading 8"/>
    <w:basedOn w:val="Style_2_ch"/>
    <w:link w:val="Style_39"/>
    <w:rPr>
      <w:rFonts w:asciiTheme="majorAscii" w:hAnsiTheme="majorHAnsi"/>
      <w:color w:themeColor="accent1" w:val="4F81BD"/>
      <w:sz w:val="20"/>
    </w:rPr>
  </w:style>
  <w:style w:styleId="Style_40" w:type="paragraph">
    <w:name w:val="toc 1"/>
    <w:next w:val="Style_2"/>
    <w:link w:val="Style_40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40_ch" w:type="character">
    <w:name w:val="toc 1"/>
    <w:link w:val="Style_40"/>
    <w:rPr>
      <w:rFonts w:ascii="XO Thames" w:hAnsi="XO Thames"/>
      <w:b w:val="1"/>
      <w:sz w:val="28"/>
    </w:rPr>
  </w:style>
  <w:style w:styleId="Style_41" w:type="paragraph">
    <w:name w:val="Header and Footer"/>
    <w:link w:val="Style_41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41_ch" w:type="character">
    <w:name w:val="Header and Footer"/>
    <w:link w:val="Style_41"/>
    <w:rPr>
      <w:rFonts w:ascii="XO Thames" w:hAnsi="XO Thames"/>
      <w:sz w:val="28"/>
    </w:rPr>
  </w:style>
  <w:style w:styleId="Style_42" w:type="paragraph">
    <w:name w:val="toc 9"/>
    <w:next w:val="Style_2"/>
    <w:link w:val="Style_42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2_ch" w:type="character">
    <w:name w:val="toc 9"/>
    <w:link w:val="Style_42"/>
    <w:rPr>
      <w:rFonts w:ascii="XO Thames" w:hAnsi="XO Thames"/>
      <w:sz w:val="28"/>
    </w:rPr>
  </w:style>
  <w:style w:styleId="Style_43" w:type="paragraph">
    <w:name w:val="Strong"/>
    <w:basedOn w:val="Style_17"/>
    <w:link w:val="Style_43_ch"/>
    <w:rPr>
      <w:b w:val="1"/>
    </w:rPr>
  </w:style>
  <w:style w:styleId="Style_43_ch" w:type="character">
    <w:name w:val="Strong"/>
    <w:basedOn w:val="Style_17_ch"/>
    <w:link w:val="Style_43"/>
    <w:rPr>
      <w:b w:val="1"/>
    </w:rPr>
  </w:style>
  <w:style w:styleId="Style_44" w:type="paragraph">
    <w:name w:val="toc 8"/>
    <w:next w:val="Style_2"/>
    <w:link w:val="Style_44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Intense Reference"/>
    <w:basedOn w:val="Style_17"/>
    <w:link w:val="Style_45_ch"/>
    <w:rPr>
      <w:b w:val="1"/>
      <w:smallCaps w:val="1"/>
      <w:color w:themeColor="accent2" w:val="C0504D"/>
      <w:spacing w:val="5"/>
      <w:u w:val="single"/>
    </w:rPr>
  </w:style>
  <w:style w:styleId="Style_45_ch" w:type="character">
    <w:name w:val="Intense Reference"/>
    <w:basedOn w:val="Style_17_ch"/>
    <w:link w:val="Style_45"/>
    <w:rPr>
      <w:b w:val="1"/>
      <w:smallCaps w:val="1"/>
      <w:color w:themeColor="accent2" w:val="C0504D"/>
      <w:spacing w:val="5"/>
      <w:u w:val="single"/>
    </w:rPr>
  </w:style>
  <w:style w:styleId="Style_46" w:type="paragraph">
    <w:name w:val="caption"/>
    <w:basedOn w:val="Style_2"/>
    <w:next w:val="Style_2"/>
    <w:link w:val="Style_46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46_ch" w:type="character">
    <w:name w:val="caption"/>
    <w:basedOn w:val="Style_2_ch"/>
    <w:link w:val="Style_46"/>
    <w:rPr>
      <w:b w:val="1"/>
      <w:color w:themeColor="accent1" w:val="4F81BD"/>
      <w:sz w:val="18"/>
    </w:rPr>
  </w:style>
  <w:style w:styleId="Style_47" w:type="paragraph">
    <w:name w:val="toc 5"/>
    <w:next w:val="Style_2"/>
    <w:link w:val="Style_4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7_ch" w:type="character">
    <w:name w:val="toc 5"/>
    <w:link w:val="Style_47"/>
    <w:rPr>
      <w:rFonts w:ascii="XO Thames" w:hAnsi="XO Thames"/>
      <w:sz w:val="28"/>
    </w:rPr>
  </w:style>
  <w:style w:styleId="Style_48" w:type="paragraph">
    <w:name w:val="List Paragraph"/>
    <w:basedOn w:val="Style_2"/>
    <w:link w:val="Style_48_ch"/>
    <w:pPr>
      <w:widowControl w:val="1"/>
      <w:ind w:left="720"/>
      <w:contextualSpacing w:val="1"/>
    </w:pPr>
  </w:style>
  <w:style w:styleId="Style_48_ch" w:type="character">
    <w:name w:val="List Paragraph"/>
    <w:basedOn w:val="Style_2_ch"/>
    <w:link w:val="Style_48"/>
  </w:style>
  <w:style w:styleId="Style_17" w:type="paragraph">
    <w:name w:val="Default Paragraph Font"/>
    <w:link w:val="Style_17_ch"/>
  </w:style>
  <w:style w:styleId="Style_17_ch" w:type="character">
    <w:name w:val="Default Paragraph Font"/>
    <w:link w:val="Style_17"/>
  </w:style>
  <w:style w:styleId="Style_49" w:type="paragraph">
    <w:name w:val="footer"/>
    <w:basedOn w:val="Style_2"/>
    <w:link w:val="Style_49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9_ch" w:type="character">
    <w:name w:val="footer"/>
    <w:basedOn w:val="Style_2_ch"/>
    <w:link w:val="Style_49"/>
  </w:style>
  <w:style w:styleId="Style_50" w:type="paragraph">
    <w:name w:val="List Continue 3"/>
    <w:basedOn w:val="Style_2"/>
    <w:link w:val="Style_50_ch"/>
    <w:pPr>
      <w:widowControl w:val="1"/>
      <w:spacing w:after="120"/>
      <w:ind w:left="1080"/>
      <w:contextualSpacing w:val="1"/>
    </w:pPr>
  </w:style>
  <w:style w:styleId="Style_50_ch" w:type="character">
    <w:name w:val="List Continue 3"/>
    <w:basedOn w:val="Style_2_ch"/>
    <w:link w:val="Style_50"/>
  </w:style>
  <w:style w:styleId="Style_51" w:type="paragraph">
    <w:name w:val="No Spacing"/>
    <w:link w:val="Style_51_ch"/>
    <w:pPr>
      <w:widowControl w:val="1"/>
      <w:spacing w:after="0" w:line="240" w:lineRule="auto"/>
      <w:ind/>
    </w:pPr>
  </w:style>
  <w:style w:styleId="Style_51_ch" w:type="character">
    <w:name w:val="No Spacing"/>
    <w:link w:val="Style_51"/>
  </w:style>
  <w:style w:styleId="Style_52" w:type="paragraph">
    <w:name w:val="Subtitle"/>
    <w:basedOn w:val="Style_2"/>
    <w:next w:val="Style_2"/>
    <w:link w:val="Style_52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2_ch" w:type="character">
    <w:name w:val="Subtitle"/>
    <w:basedOn w:val="Style_2_ch"/>
    <w:link w:val="Style_52"/>
    <w:rPr>
      <w:rFonts w:asciiTheme="majorAscii" w:hAnsiTheme="majorHAnsi"/>
      <w:i w:val="1"/>
      <w:color w:themeColor="accent1" w:val="4F81BD"/>
      <w:spacing w:val="15"/>
      <w:sz w:val="24"/>
    </w:rPr>
  </w:style>
  <w:style w:styleId="Style_53" w:type="paragraph">
    <w:name w:val="Book Title"/>
    <w:basedOn w:val="Style_17"/>
    <w:link w:val="Style_53_ch"/>
    <w:rPr>
      <w:b w:val="1"/>
      <w:smallCaps w:val="1"/>
      <w:spacing w:val="5"/>
    </w:rPr>
  </w:style>
  <w:style w:styleId="Style_53_ch" w:type="character">
    <w:name w:val="Book Title"/>
    <w:basedOn w:val="Style_17_ch"/>
    <w:link w:val="Style_53"/>
    <w:rPr>
      <w:b w:val="1"/>
      <w:smallCaps w:val="1"/>
      <w:spacing w:val="5"/>
    </w:rPr>
  </w:style>
  <w:style w:styleId="Style_54" w:type="paragraph">
    <w:name w:val="Title"/>
    <w:basedOn w:val="Style_2"/>
    <w:next w:val="Style_2"/>
    <w:link w:val="Style_54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4_ch" w:type="character">
    <w:name w:val="Title"/>
    <w:basedOn w:val="Style_2_ch"/>
    <w:link w:val="Style_54"/>
    <w:rPr>
      <w:rFonts w:asciiTheme="majorAscii" w:hAnsiTheme="majorHAnsi"/>
      <w:color w:themeColor="text2" w:themeShade="BF" w:val="17375E"/>
      <w:spacing w:val="5"/>
      <w:sz w:val="52"/>
    </w:rPr>
  </w:style>
  <w:style w:styleId="Style_55" w:type="paragraph">
    <w:name w:val="heading 4"/>
    <w:basedOn w:val="Style_2"/>
    <w:next w:val="Style_2"/>
    <w:link w:val="Style_55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5_ch" w:type="character">
    <w:name w:val="heading 4"/>
    <w:basedOn w:val="Style_2_ch"/>
    <w:link w:val="Style_55"/>
    <w:rPr>
      <w:rFonts w:asciiTheme="majorAscii" w:hAnsiTheme="majorHAnsi"/>
      <w:b w:val="1"/>
      <w:i w:val="1"/>
      <w:color w:themeColor="accent1" w:val="4F81BD"/>
    </w:rPr>
  </w:style>
  <w:style w:styleId="Style_56" w:type="paragraph">
    <w:name w:val="heading 2"/>
    <w:basedOn w:val="Style_2"/>
    <w:next w:val="Style_2"/>
    <w:link w:val="Style_56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6_ch" w:type="character">
    <w:name w:val="heading 2"/>
    <w:basedOn w:val="Style_2_ch"/>
    <w:link w:val="Style_56"/>
    <w:rPr>
      <w:rFonts w:asciiTheme="majorAscii" w:hAnsiTheme="majorHAnsi"/>
      <w:b w:val="1"/>
      <w:color w:themeColor="accent1" w:val="4F81BD"/>
      <w:sz w:val="26"/>
    </w:rPr>
  </w:style>
  <w:style w:styleId="Style_57" w:type="paragraph">
    <w:name w:val="List Continue"/>
    <w:basedOn w:val="Style_2"/>
    <w:link w:val="Style_57_ch"/>
    <w:pPr>
      <w:widowControl w:val="1"/>
      <w:spacing w:after="120"/>
      <w:ind w:left="360"/>
      <w:contextualSpacing w:val="1"/>
    </w:pPr>
  </w:style>
  <w:style w:styleId="Style_57_ch" w:type="character">
    <w:name w:val="List Continue"/>
    <w:basedOn w:val="Style_2_ch"/>
    <w:link w:val="Style_57"/>
  </w:style>
  <w:style w:styleId="Style_58" w:type="paragraph">
    <w:name w:val="heading 6"/>
    <w:basedOn w:val="Style_2"/>
    <w:next w:val="Style_2"/>
    <w:link w:val="Style_58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8_ch" w:type="character">
    <w:name w:val="heading 6"/>
    <w:basedOn w:val="Style_2_ch"/>
    <w:link w:val="Style_58"/>
    <w:rPr>
      <w:rFonts w:asciiTheme="majorAscii" w:hAnsiTheme="majorHAnsi"/>
      <w:i w:val="1"/>
      <w:color w:themeColor="accent1" w:themeShade="7F" w:val="244061"/>
    </w:rPr>
  </w:style>
  <w:style w:styleId="Style_59" w:type="table">
    <w:name w:val="Dark List Accent 2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List 1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Dark List Accent 5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Shading"/>
    <w:basedOn w:val="Style_60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List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List 1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Grid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Lis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Colorful Shading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Shading 2 Accent 6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3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Grid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Dark List Accent 4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Light List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Lis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Grid 3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Grid 3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List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Light Grid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List 1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Colorful Shading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Grid 3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Light Shading Accent 6"/>
    <w:basedOn w:val="Style_60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Shading Accent 3"/>
    <w:basedOn w:val="Style_60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Colorful Shading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Grid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List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Light Grid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List 1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Light Grid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List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Shading 2 Accent 3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Shading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Grid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Dark List Accent 1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Shading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Colorful Shading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Light List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List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Grid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Grid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List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Dark List Accent 6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Colorful Shading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Colorful Grid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Shading 2 Accent 1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Grid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Grid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Grid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Light Shading Accent 5"/>
    <w:basedOn w:val="Style_60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Shading 2 Accent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Shading 2 Accent 4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List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1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List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Shading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Grid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Colorful List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Shading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Dark List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List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Colorful Grid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Shading 2 Accent 5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6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Shading Accent 2"/>
    <w:basedOn w:val="Style_60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Colorful List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Colorful List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Grid 3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3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Colorful List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Shading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Dark List Accent 3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Light Shading Accent 4"/>
    <w:basedOn w:val="Style_60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List 1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Grid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List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Light Grid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Colorful Shading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Grid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Light Shading Accent 1"/>
    <w:basedOn w:val="Style_60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Grid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Grid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Grid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Colorful Shading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Colorful Grid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Light Grid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Light List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Colorful List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Grid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2026-06-04T11:05:37Z</dcterms:modified>
</cp:coreProperties>
</file>