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120" w:before="240" w:line="276" w:lineRule="auto"/>
        <w:ind/>
        <w:jc w:val="center"/>
      </w:pPr>
      <w:r>
        <w:rPr>
          <w:rFonts w:ascii="Times New Roman" w:hAnsi="Times New Roman"/>
          <w:b w:val="1"/>
          <w:sz w:val="28"/>
        </w:rPr>
        <w:t>1. ОБЩИЕ СВЕДЕНИЯ ОБ ОБЪЕКТЕ ПРОЕКТИРОВАНИЯ</w:t>
      </w:r>
    </w:p>
    <w:p w14:paraId="02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Объект проектирования – </w:t>
      </w:r>
      <w:r>
        <w:rPr>
          <w:rFonts w:ascii="Times New Roman" w:hAnsi="Times New Roman"/>
          <w:b w:val="0"/>
          <w:sz w:val="24"/>
          <w:highlight w:val="green"/>
        </w:rPr>
        <w:t>{{facility.type_nominative}}</w:t>
      </w:r>
      <w:r>
        <w:rPr>
          <w:rFonts w:ascii="Times New Roman" w:hAnsi="Times New Roman"/>
          <w:b w:val="0"/>
          <w:sz w:val="24"/>
        </w:rPr>
        <w:t xml:space="preserve"> мощностью </w:t>
      </w:r>
      <w:r>
        <w:rPr>
          <w:rFonts w:ascii="Times New Roman" w:hAnsi="Times New Roman"/>
          <w:b w:val="0"/>
          <w:sz w:val="24"/>
          <w:highlight w:val="green"/>
        </w:rPr>
        <w:t>{{facility.capacity_text}}</w:t>
      </w:r>
      <w:r>
        <w:rPr>
          <w:rFonts w:ascii="Times New Roman" w:hAnsi="Times New Roman"/>
          <w:b w:val="0"/>
          <w:sz w:val="24"/>
        </w:rPr>
        <w:t xml:space="preserve"> по адресу: </w:t>
      </w:r>
      <w:r>
        <w:rPr>
          <w:rFonts w:ascii="Times New Roman" w:hAnsi="Times New Roman"/>
          <w:b w:val="0"/>
          <w:sz w:val="24"/>
          <w:highlight w:val="green"/>
        </w:rPr>
        <w:t>{{facility.address}}</w:t>
      </w:r>
      <w:r>
        <w:rPr>
          <w:rFonts w:ascii="Times New Roman" w:hAnsi="Times New Roman"/>
          <w:b w:val="0"/>
          <w:sz w:val="24"/>
        </w:rPr>
        <w:t>.</w:t>
      </w:r>
    </w:p>
    <w:p w14:paraId="03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if facility.project_goal %}</w:t>
      </w:r>
    </w:p>
    <w:p w14:paraId="04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Цель </w:t>
      </w:r>
      <w:r>
        <w:rPr>
          <w:rFonts w:ascii="Times New Roman" w:hAnsi="Times New Roman"/>
          <w:b w:val="0"/>
          <w:sz w:val="24"/>
          <w:highlight w:val="green"/>
        </w:rPr>
        <w:t>{{facility.work_type}}</w:t>
      </w:r>
      <w:r>
        <w:rPr>
          <w:rFonts w:ascii="Times New Roman" w:hAnsi="Times New Roman"/>
          <w:b w:val="0"/>
          <w:sz w:val="24"/>
        </w:rPr>
        <w:t xml:space="preserve"> – </w:t>
      </w:r>
      <w:r>
        <w:rPr>
          <w:rFonts w:ascii="Times New Roman" w:hAnsi="Times New Roman"/>
          <w:b w:val="0"/>
          <w:sz w:val="24"/>
          <w:highlight w:val="green"/>
        </w:rPr>
        <w:t>{{facility.project_goal}}</w:t>
      </w:r>
      <w:r>
        <w:rPr>
          <w:rFonts w:ascii="Times New Roman" w:hAnsi="Times New Roman"/>
          <w:b w:val="0"/>
          <w:sz w:val="24"/>
        </w:rPr>
        <w:t>.</w:t>
      </w:r>
    </w:p>
    <w:p w14:paraId="05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p w14:paraId="06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if sanitary_zone.include_description %}</w:t>
      </w:r>
    </w:p>
    <w:p w14:paraId="07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Согласно проекту и СанПиН 2.2.1/2.1.1.1200-03 «Санитарно-защитные зоны и санитарная классификация предприятий, сооружений и иных объектов. Новая редакция» деятельность рассматриваемого объекта относится к </w:t>
      </w:r>
      <w:r>
        <w:rPr>
          <w:rFonts w:ascii="Times New Roman" w:hAnsi="Times New Roman"/>
          <w:b w:val="0"/>
          <w:sz w:val="24"/>
          <w:highlight w:val="green"/>
        </w:rPr>
        <w:t>{{sanitary_zone.hazard_class}}</w:t>
      </w:r>
      <w:r>
        <w:rPr>
          <w:rFonts w:ascii="Times New Roman" w:hAnsi="Times New Roman"/>
          <w:b w:val="0"/>
          <w:sz w:val="24"/>
        </w:rPr>
        <w:t xml:space="preserve"> классу опасности (</w:t>
      </w:r>
      <w:r>
        <w:rPr>
          <w:rFonts w:ascii="Times New Roman" w:hAnsi="Times New Roman"/>
          <w:b w:val="0"/>
          <w:sz w:val="24"/>
          <w:highlight w:val="green"/>
        </w:rPr>
        <w:t>{{sanitary_zone.sanpin_reference}}</w:t>
      </w:r>
      <w:r>
        <w:rPr>
          <w:rFonts w:ascii="Times New Roman" w:hAnsi="Times New Roman"/>
          <w:b w:val="0"/>
          <w:sz w:val="24"/>
        </w:rPr>
        <w:t xml:space="preserve">), регламентированный размер СЗЗ – </w:t>
      </w:r>
      <w:r>
        <w:rPr>
          <w:rFonts w:ascii="Times New Roman" w:hAnsi="Times New Roman"/>
          <w:b w:val="0"/>
          <w:sz w:val="24"/>
          <w:highlight w:val="green"/>
        </w:rPr>
        <w:t>{{sanitary_zone.size_m}}</w:t>
      </w:r>
      <w:r>
        <w:rPr>
          <w:rFonts w:ascii="Times New Roman" w:hAnsi="Times New Roman"/>
          <w:b w:val="0"/>
          <w:sz w:val="24"/>
        </w:rPr>
        <w:t xml:space="preserve"> м.</w:t>
      </w:r>
    </w:p>
    <w:p w14:paraId="08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p w14:paraId="09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  <w:highlight w:val="green"/>
        </w:rPr>
        <w:t>{{facility.type_nominative}}</w:t>
      </w:r>
      <w:r>
        <w:rPr>
          <w:rFonts w:ascii="Times New Roman" w:hAnsi="Times New Roman"/>
          <w:b w:val="0"/>
          <w:sz w:val="24"/>
        </w:rPr>
        <w:t xml:space="preserve"> планируется к размещению на участке с кадастровым номером </w:t>
      </w:r>
      <w:r>
        <w:rPr>
          <w:rFonts w:ascii="Times New Roman" w:hAnsi="Times New Roman"/>
          <w:b w:val="0"/>
          <w:sz w:val="24"/>
          <w:highlight w:val="green"/>
        </w:rPr>
        <w:t>{{land_plot.cadastral_number}}</w:t>
      </w:r>
      <w:r>
        <w:rPr>
          <w:rFonts w:ascii="Times New Roman" w:hAnsi="Times New Roman"/>
          <w:b w:val="0"/>
          <w:sz w:val="24"/>
        </w:rPr>
        <w:t xml:space="preserve">, категория земель – </w:t>
      </w:r>
      <w:r>
        <w:rPr>
          <w:rFonts w:ascii="Times New Roman" w:hAnsi="Times New Roman"/>
          <w:b w:val="0"/>
          <w:sz w:val="24"/>
          <w:highlight w:val="green"/>
        </w:rPr>
        <w:t>{{land_plot.land_category}}</w:t>
      </w:r>
      <w:r>
        <w:rPr>
          <w:rFonts w:ascii="Times New Roman" w:hAnsi="Times New Roman"/>
          <w:b w:val="0"/>
          <w:sz w:val="24"/>
        </w:rPr>
        <w:t xml:space="preserve">, разрешенное использование – </w:t>
      </w:r>
      <w:r>
        <w:rPr>
          <w:rFonts w:ascii="Times New Roman" w:hAnsi="Times New Roman"/>
          <w:b w:val="0"/>
          <w:sz w:val="24"/>
          <w:highlight w:val="green"/>
        </w:rPr>
        <w:t>{{land_plot.permitted_use}}</w:t>
      </w:r>
      <w:r>
        <w:rPr>
          <w:rFonts w:ascii="Times New Roman" w:hAnsi="Times New Roman"/>
          <w:b w:val="0"/>
          <w:sz w:val="24"/>
        </w:rPr>
        <w:t xml:space="preserve">. Площадь земельного участка </w:t>
      </w:r>
      <w:r>
        <w:rPr>
          <w:rFonts w:ascii="Times New Roman" w:hAnsi="Times New Roman"/>
          <w:b w:val="0"/>
          <w:sz w:val="24"/>
          <w:highlight w:val="green"/>
        </w:rPr>
        <w:t>{{land_plot.area_sqm}}</w:t>
      </w:r>
      <w:r>
        <w:rPr>
          <w:rFonts w:ascii="Times New Roman" w:hAnsi="Times New Roman"/>
          <w:b w:val="0"/>
          <w:sz w:val="24"/>
        </w:rPr>
        <w:t xml:space="preserve"> кв.м.</w:t>
      </w:r>
    </w:p>
    <w:p w14:paraId="0A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Контур объекта сформирован границами земельного участка под размещение </w:t>
      </w:r>
      <w:r>
        <w:rPr>
          <w:rFonts w:ascii="Times New Roman" w:hAnsi="Times New Roman"/>
          <w:b w:val="0"/>
          <w:sz w:val="24"/>
          <w:highlight w:val="green"/>
        </w:rPr>
        <w:t>{{facility.type_genitive}}</w:t>
      </w:r>
      <w:r>
        <w:rPr>
          <w:rFonts w:ascii="Times New Roman" w:hAnsi="Times New Roman"/>
          <w:b w:val="0"/>
          <w:sz w:val="24"/>
        </w:rPr>
        <w:t>.</w:t>
      </w:r>
    </w:p>
    <w:p w14:paraId="0B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if structures.structures %}</w:t>
      </w:r>
    </w:p>
    <w:p w14:paraId="0C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>На территории указанного участка проектными решениями к размещению приняты:</w:t>
      </w:r>
    </w:p>
    <w:p w14:paraId="0D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for item in structures.structures %}</w:t>
      </w:r>
    </w:p>
    <w:p w14:paraId="0E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- </w:t>
      </w:r>
      <w:r>
        <w:rPr>
          <w:rFonts w:ascii="Times New Roman" w:hAnsi="Times New Roman"/>
          <w:b w:val="0"/>
          <w:sz w:val="24"/>
          <w:highlight w:val="green"/>
        </w:rPr>
        <w:t>{{item}}</w:t>
      </w:r>
      <w:r>
        <w:rPr>
          <w:rFonts w:ascii="Times New Roman" w:hAnsi="Times New Roman"/>
          <w:b w:val="0"/>
          <w:sz w:val="24"/>
        </w:rPr>
        <w:t>;</w:t>
      </w:r>
    </w:p>
    <w:p w14:paraId="0F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endfor %}</w:t>
      </w:r>
    </w:p>
    <w:p w14:paraId="10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p w14:paraId="11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Использование участка под размещение </w:t>
      </w:r>
      <w:r>
        <w:rPr>
          <w:rFonts w:ascii="Times New Roman" w:hAnsi="Times New Roman"/>
          <w:b w:val="0"/>
          <w:sz w:val="24"/>
          <w:highlight w:val="green"/>
        </w:rPr>
        <w:t>{{facility.type_genitive}}</w:t>
      </w:r>
      <w:r>
        <w:rPr>
          <w:rFonts w:ascii="Times New Roman" w:hAnsi="Times New Roman"/>
          <w:b w:val="0"/>
          <w:sz w:val="24"/>
        </w:rPr>
        <w:t xml:space="preserve"> относится к основному виду разрешенного использования.</w:t>
      </w:r>
    </w:p>
    <w:p w14:paraId="12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if ownership.ownership %}</w:t>
      </w:r>
    </w:p>
    <w:p w14:paraId="13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Право пользования земельным участком подтверждено </w:t>
      </w:r>
      <w:r>
        <w:rPr>
          <w:rFonts w:ascii="Times New Roman" w:hAnsi="Times New Roman"/>
          <w:b w:val="0"/>
          <w:sz w:val="24"/>
          <w:highlight w:val="green"/>
        </w:rPr>
        <w:t>{{ownership.ownership}}</w:t>
      </w:r>
      <w:r>
        <w:rPr>
          <w:rFonts w:ascii="Times New Roman" w:hAnsi="Times New Roman"/>
          <w:b w:val="0"/>
          <w:sz w:val="24"/>
        </w:rPr>
        <w:t>.</w:t>
      </w:r>
    </w:p>
    <w:p w14:paraId="14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p w14:paraId="15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Земельный участок (кадастровый номер </w:t>
      </w:r>
      <w:r>
        <w:rPr>
          <w:rFonts w:ascii="Times New Roman" w:hAnsi="Times New Roman"/>
          <w:b w:val="0"/>
          <w:sz w:val="24"/>
          <w:highlight w:val="green"/>
        </w:rPr>
        <w:t>{{land_plot.cadastral_number}}</w:t>
      </w:r>
      <w:r>
        <w:rPr>
          <w:rFonts w:ascii="Times New Roman" w:hAnsi="Times New Roman"/>
          <w:b w:val="0"/>
          <w:sz w:val="24"/>
        </w:rPr>
        <w:t xml:space="preserve">) на территории которого планируется размещение </w:t>
      </w:r>
      <w:r>
        <w:rPr>
          <w:rFonts w:ascii="Times New Roman" w:hAnsi="Times New Roman"/>
          <w:b w:val="0"/>
          <w:sz w:val="24"/>
          <w:highlight w:val="green"/>
        </w:rPr>
        <w:t>{{facility.type_genitive}}</w:t>
      </w:r>
      <w:r>
        <w:rPr>
          <w:rFonts w:ascii="Times New Roman" w:hAnsi="Times New Roman"/>
          <w:b w:val="0"/>
          <w:sz w:val="24"/>
        </w:rPr>
        <w:t>, ограничен</w:t>
      </w:r>
      <w:r>
        <w:rPr>
          <w:rFonts w:ascii="Times New Roman" w:hAnsi="Times New Roman"/>
          <w:i w:val="1"/>
          <w:sz w:val="24"/>
        </w:rPr>
        <w:t>{%if sanitary_zone.size_m %}</w:t>
      </w:r>
      <w:r>
        <w:rPr>
          <w:rFonts w:ascii="Times New Roman" w:hAnsi="Times New Roman"/>
          <w:b w:val="0"/>
          <w:sz w:val="24"/>
        </w:rPr>
        <w:t xml:space="preserve"> (в радиусе нормативной санитарно-защитной зоны </w:t>
      </w:r>
      <w:r>
        <w:rPr>
          <w:rFonts w:ascii="Times New Roman" w:hAnsi="Times New Roman"/>
          <w:b w:val="0"/>
          <w:sz w:val="24"/>
          <w:highlight w:val="green"/>
        </w:rPr>
        <w:t>{{sanitary_zone.size_m}}</w:t>
      </w:r>
      <w:r>
        <w:rPr>
          <w:rFonts w:ascii="Times New Roman" w:hAnsi="Times New Roman"/>
          <w:b w:val="0"/>
          <w:sz w:val="24"/>
        </w:rPr>
        <w:t xml:space="preserve"> м)</w:t>
      </w:r>
      <w:r>
        <w:rPr>
          <w:rFonts w:ascii="Times New Roman" w:hAnsi="Times New Roman"/>
          <w:i w:val="1"/>
          <w:sz w:val="24"/>
        </w:rPr>
        <w:t>{%endif%}</w:t>
      </w:r>
      <w:r>
        <w:rPr>
          <w:rFonts w:ascii="Times New Roman" w:hAnsi="Times New Roman"/>
          <w:b w:val="0"/>
          <w:sz w:val="24"/>
        </w:rPr>
        <w:t>:</w:t>
      </w:r>
    </w:p>
    <w:p w14:paraId="16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for item in surroundings.directions %}</w:t>
      </w:r>
    </w:p>
    <w:p w14:paraId="17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- </w:t>
      </w:r>
      <w:r>
        <w:rPr>
          <w:rFonts w:ascii="Times New Roman" w:hAnsi="Times New Roman"/>
          <w:b w:val="0"/>
          <w:sz w:val="24"/>
          <w:highlight w:val="green"/>
        </w:rPr>
        <w:t>{{item.cardinal_direction}}</w:t>
      </w:r>
      <w:r>
        <w:rPr>
          <w:rFonts w:ascii="Times New Roman" w:hAnsi="Times New Roman"/>
          <w:b w:val="0"/>
          <w:sz w:val="24"/>
        </w:rPr>
        <w:t xml:space="preserve"> – </w:t>
      </w:r>
      <w:r>
        <w:rPr>
          <w:rFonts w:ascii="Times New Roman" w:hAnsi="Times New Roman"/>
          <w:b w:val="0"/>
          <w:sz w:val="24"/>
          <w:highlight w:val="green"/>
        </w:rPr>
        <w:t>{{item.</w:t>
      </w:r>
      <w:r>
        <w:rPr>
          <w:rFonts w:ascii="Times New Roman" w:hAnsi="Times New Roman"/>
          <w:b w:val="0"/>
          <w:sz w:val="24"/>
          <w:shd w:fill="4BF357" w:val="clear"/>
        </w:rPr>
        <w:t>description</w:t>
      </w:r>
      <w:r>
        <w:rPr>
          <w:rFonts w:ascii="Times New Roman" w:hAnsi="Times New Roman"/>
          <w:b w:val="0"/>
          <w:sz w:val="24"/>
          <w:highlight w:val="green"/>
        </w:rPr>
        <w:t>}}</w:t>
      </w:r>
      <w:r>
        <w:rPr>
          <w:rFonts w:ascii="Times New Roman" w:hAnsi="Times New Roman"/>
          <w:b w:val="0"/>
          <w:sz w:val="24"/>
        </w:rPr>
        <w:t>;</w:t>
      </w:r>
    </w:p>
    <w:p w14:paraId="18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endfor %}</w:t>
      </w:r>
    </w:p>
    <w:p w14:paraId="19000000">
      <w:pPr>
        <w:widowControl w:val="1"/>
        <w:spacing w:after="120" w:before="0" w:line="276" w:lineRule="auto"/>
        <w:ind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>{%p if general_plan.</w:t>
      </w:r>
      <w:r>
        <w:rPr>
          <w:rFonts w:ascii="Times New Roman" w:hAnsi="Times New Roman"/>
          <w:color w:val="080808"/>
          <w:sz w:val="24"/>
        </w:rPr>
        <w:t>constraints_on_the_industrial_site</w:t>
      </w:r>
      <w:r>
        <w:rPr>
          <w:rFonts w:ascii="Times New Roman" w:hAnsi="Times New Roman"/>
          <w:i w:val="1"/>
          <w:sz w:val="24"/>
        </w:rPr>
        <w:t xml:space="preserve"> %}</w:t>
      </w:r>
    </w:p>
    <w:p w14:paraId="1A000000">
      <w:pPr>
        <w:widowControl w:val="1"/>
        <w:spacing w:after="120" w:before="0" w:line="276" w:lineRule="auto"/>
        <w:ind/>
        <w:jc w:val="both"/>
        <w:rPr>
          <w:rFonts w:ascii="Times New Roman" w:hAnsi="Times New Roman"/>
          <w:color w:val="080808"/>
          <w:sz w:val="24"/>
          <w:shd w:fill="4BF357" w:val="clear"/>
        </w:rPr>
      </w:pPr>
      <w:r>
        <w:rPr>
          <w:rFonts w:ascii="Times New Roman" w:hAnsi="Times New Roman"/>
          <w:b w:val="0"/>
          <w:sz w:val="24"/>
          <w:shd w:fill="4BF357" w:val="clear"/>
        </w:rPr>
        <w:t>{{general</w:t>
      </w:r>
      <w:r>
        <w:rPr>
          <w:rFonts w:ascii="Times New Roman" w:hAnsi="Times New Roman"/>
          <w:b w:val="0"/>
          <w:sz w:val="24"/>
          <w:shd w:fill="4BF357" w:val="clear"/>
        </w:rPr>
        <w:t>_</w:t>
      </w:r>
      <w:r>
        <w:rPr>
          <w:rFonts w:ascii="Times New Roman" w:hAnsi="Times New Roman"/>
          <w:b w:val="0"/>
          <w:sz w:val="24"/>
          <w:shd w:fill="4BF357" w:val="clear"/>
        </w:rPr>
        <w:t>plan.</w:t>
      </w:r>
      <w:r>
        <w:rPr>
          <w:rFonts w:ascii="Times New Roman" w:hAnsi="Times New Roman"/>
          <w:color w:val="080808"/>
          <w:sz w:val="24"/>
          <w:shd w:fill="4BF357" w:val="clear"/>
        </w:rPr>
        <w:t>constraints_on_the_industrial_site</w:t>
      </w:r>
      <w:r>
        <w:rPr>
          <w:rFonts w:ascii="Times New Roman" w:hAnsi="Times New Roman"/>
          <w:b w:val="0"/>
          <w:sz w:val="24"/>
          <w:shd w:fill="4BF357" w:val="clear"/>
        </w:rPr>
        <w:t>}}</w:t>
      </w:r>
    </w:p>
    <w:p w14:paraId="1B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p w14:paraId="1C000000">
      <w:pPr>
        <w:widowControl w:val="1"/>
        <w:spacing w:after="120" w:before="0" w:line="276" w:lineRule="auto"/>
        <w:ind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 xml:space="preserve">{%p if </w:t>
      </w:r>
      <w:r>
        <w:rPr>
          <w:rFonts w:ascii="Times New Roman" w:hAnsi="Times New Roman"/>
          <w:i w:val="1"/>
          <w:sz w:val="24"/>
        </w:rPr>
        <w:t>surroundings</w:t>
      </w:r>
      <w:r>
        <w:rPr>
          <w:rFonts w:ascii="Times New Roman" w:hAnsi="Times New Roman"/>
          <w:i w:val="1"/>
          <w:sz w:val="24"/>
        </w:rPr>
        <w:t>.</w:t>
      </w:r>
      <w:r>
        <w:rPr>
          <w:rFonts w:ascii="Times New Roman" w:hAnsi="Times New Roman"/>
          <w:i w:val="1"/>
          <w:sz w:val="24"/>
        </w:rPr>
        <w:t>data_sources</w:t>
      </w:r>
      <w:r>
        <w:rPr>
          <w:rFonts w:ascii="Times New Roman" w:hAnsi="Times New Roman"/>
          <w:i w:val="1"/>
          <w:sz w:val="24"/>
        </w:rPr>
        <w:t xml:space="preserve"> %}</w:t>
      </w:r>
    </w:p>
    <w:p w14:paraId="1D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>Район расположения предприятия проанализирован на основании следующих официальных данных:</w:t>
      </w:r>
    </w:p>
    <w:p w14:paraId="1E000000">
      <w:pPr>
        <w:widowControl w:val="1"/>
        <w:spacing w:after="120" w:before="0" w:line="276" w:lineRule="auto"/>
        <w:ind/>
        <w:jc w:val="both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i w:val="1"/>
          <w:sz w:val="24"/>
        </w:rPr>
        <w:t>{%p endif %}</w:t>
      </w:r>
    </w:p>
    <w:p w14:paraId="1F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for source in surroundings.data_sources %}</w:t>
      </w:r>
    </w:p>
    <w:p w14:paraId="20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- </w:t>
      </w:r>
      <w:r>
        <w:rPr>
          <w:rFonts w:ascii="Times New Roman" w:hAnsi="Times New Roman"/>
          <w:b w:val="0"/>
          <w:sz w:val="24"/>
          <w:highlight w:val="green"/>
        </w:rPr>
        <w:t>{{source}}</w:t>
      </w:r>
      <w:r>
        <w:rPr>
          <w:rFonts w:ascii="Times New Roman" w:hAnsi="Times New Roman"/>
          <w:b w:val="0"/>
          <w:sz w:val="24"/>
        </w:rPr>
        <w:t>;</w:t>
      </w:r>
    </w:p>
    <w:p w14:paraId="21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endfor %}</w:t>
      </w:r>
    </w:p>
    <w:p w14:paraId="22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>Ближайшие нормируемые объекты расположены</w:t>
      </w:r>
      <w:r>
        <w:rPr>
          <w:rFonts w:ascii="Times New Roman" w:hAnsi="Times New Roman"/>
          <w:i w:val="1"/>
          <w:sz w:val="24"/>
        </w:rPr>
        <w:t>{%if sanitary_zone.size_m %}</w:t>
      </w:r>
      <w:r>
        <w:rPr>
          <w:rFonts w:ascii="Times New Roman" w:hAnsi="Times New Roman"/>
          <w:b w:val="0"/>
          <w:sz w:val="24"/>
        </w:rPr>
        <w:t xml:space="preserve"> (в радиусе нормативной санитарно-защитной зоны </w:t>
      </w:r>
      <w:r>
        <w:rPr>
          <w:rFonts w:ascii="Times New Roman" w:hAnsi="Times New Roman"/>
          <w:b w:val="0"/>
          <w:sz w:val="24"/>
          <w:highlight w:val="green"/>
        </w:rPr>
        <w:t>{{sanitary_zone.size_m}}</w:t>
      </w:r>
      <w:r>
        <w:rPr>
          <w:rFonts w:ascii="Times New Roman" w:hAnsi="Times New Roman"/>
          <w:b w:val="0"/>
          <w:sz w:val="24"/>
        </w:rPr>
        <w:t xml:space="preserve"> м)</w:t>
      </w:r>
      <w:r>
        <w:rPr>
          <w:rFonts w:ascii="Times New Roman" w:hAnsi="Times New Roman"/>
          <w:i w:val="1"/>
          <w:sz w:val="24"/>
        </w:rPr>
        <w:t>{%endif%}</w:t>
      </w:r>
      <w:r>
        <w:rPr>
          <w:rFonts w:ascii="Times New Roman" w:hAnsi="Times New Roman"/>
          <w:b w:val="0"/>
          <w:sz w:val="24"/>
        </w:rPr>
        <w:t>:</w:t>
      </w:r>
    </w:p>
    <w:tbl>
      <w:tblPr>
        <w:tblStyle w:val="Style_1"/>
        <w:tblW w:type="auto" w:w="0"/>
        <w:tblLayout w:type="fixed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 w14:paraId="23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№ п/п</w:t>
            </w:r>
          </w:p>
        </w:tc>
        <w:tc>
          <w:tcPr>
            <w:tcW w:type="dxa" w:w="2493"/>
          </w:tcPr>
          <w:p w14:paraId="24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Кадастровый номер</w:t>
            </w:r>
          </w:p>
        </w:tc>
        <w:tc>
          <w:tcPr>
            <w:tcW w:type="dxa" w:w="2493"/>
          </w:tcPr>
          <w:p w14:paraId="25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Вид нормируемого объекта, адрес</w:t>
            </w:r>
          </w:p>
        </w:tc>
        <w:tc>
          <w:tcPr>
            <w:tcW w:type="dxa" w:w="2493"/>
          </w:tcPr>
          <w:p w14:paraId="26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Расстояние до контура объекта (м)</w:t>
            </w:r>
          </w:p>
        </w:tc>
      </w:tr>
      <w:tr>
        <w:tc>
          <w:tcPr>
            <w:tcW w:type="dxa" w:w="2493"/>
          </w:tcPr>
          <w:p w14:paraId="27000000">
            <w:r>
              <w:rPr>
                <w:rFonts w:ascii="Times New Roman" w:hAnsi="Times New Roman"/>
                <w:i w:val="1"/>
                <w:sz w:val="20"/>
              </w:rPr>
              <w:t>{%tr for obj in nearest_objects.nearest_objects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 w14:paraId="28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0"/>
                <w:sz w:val="20"/>
                <w:highlight w:val="green"/>
              </w:rPr>
              <w:t>{{obj.number}}</w:t>
            </w:r>
          </w:p>
        </w:tc>
        <w:tc>
          <w:tcPr>
            <w:tcW w:type="dxa" w:w="2493"/>
          </w:tcPr>
          <w:p w14:paraId="29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0"/>
                <w:sz w:val="20"/>
                <w:highlight w:val="green"/>
              </w:rPr>
              <w:t>{{obj.cadastral_number}}</w:t>
            </w:r>
          </w:p>
        </w:tc>
        <w:tc>
          <w:tcPr>
            <w:tcW w:type="dxa" w:w="2493"/>
          </w:tcPr>
          <w:p w14:paraId="2A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0"/>
                <w:sz w:val="20"/>
                <w:highlight w:val="green"/>
              </w:rPr>
              <w:t>{{obj.description}}</w:t>
            </w:r>
          </w:p>
        </w:tc>
        <w:tc>
          <w:tcPr>
            <w:tcW w:type="dxa" w:w="2493"/>
          </w:tcPr>
          <w:p w14:paraId="2B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0"/>
                <w:sz w:val="20"/>
                <w:highlight w:val="green"/>
              </w:rPr>
              <w:t>{{obj.distance}}</w:t>
            </w:r>
          </w:p>
        </w:tc>
      </w:tr>
      <w:tr>
        <w:tc>
          <w:tcPr>
            <w:tcW w:type="dxa" w:w="2493"/>
          </w:tcPr>
          <w:p w14:paraId="2C000000">
            <w:r>
              <w:rPr>
                <w:rFonts w:ascii="Times New Roman" w:hAnsi="Times New Roman"/>
                <w:i w:val="1"/>
                <w:sz w:val="20"/>
              </w:rPr>
              <w:t>{%tr endfor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 w14:paraId="2D000000"/>
    <w:p w14:paraId="2E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if land_plot.boundary_coordinates %}</w:t>
      </w:r>
    </w:p>
    <w:p w14:paraId="2F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Контур объекта определён характерными точками фактической границы территории предприятия в системе координат </w:t>
      </w:r>
      <w:r>
        <w:rPr>
          <w:rFonts w:ascii="Times New Roman" w:hAnsi="Times New Roman"/>
          <w:b w:val="0"/>
          <w:sz w:val="24"/>
          <w:highlight w:val="green"/>
        </w:rPr>
        <w:t>{{land_plot.coordinate_system}}</w:t>
      </w:r>
      <w:r>
        <w:rPr>
          <w:rFonts w:ascii="Times New Roman" w:hAnsi="Times New Roman"/>
          <w:b w:val="0"/>
          <w:sz w:val="24"/>
        </w:rPr>
        <w:t xml:space="preserve"> (Х/Y): </w:t>
      </w:r>
      <w:r>
        <w:rPr>
          <w:rFonts w:ascii="Times New Roman" w:hAnsi="Times New Roman"/>
          <w:b w:val="0"/>
          <w:sz w:val="24"/>
          <w:highlight w:val="green"/>
        </w:rPr>
        <w:t>{{land_plot.boundary_coordinates}}</w:t>
      </w:r>
      <w:r>
        <w:rPr>
          <w:rFonts w:ascii="Times New Roman" w:hAnsi="Times New Roman"/>
          <w:b w:val="0"/>
          <w:sz w:val="24"/>
        </w:rPr>
        <w:t>.</w:t>
      </w:r>
    </w:p>
    <w:p w14:paraId="30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p w14:paraId="31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>Ситуационный план расположения объекта проектирования представлен на рисунке 1.1. Ситуационный план с нанесенными источниками шума и выбросов, расчетными точками по фактору шумового воздействия и химического загрязнения атмосферы представлен в Приложении 2.</w:t>
      </w:r>
    </w:p>
    <w:p w14:paraId="32000000">
      <w:pPr>
        <w:widowControl w:val="1"/>
        <w:spacing w:after="120" w:before="0" w:line="276" w:lineRule="auto"/>
        <w:ind/>
        <w:jc w:val="center"/>
      </w:pPr>
      <w:r>
        <w:rPr>
          <w:rFonts w:ascii="Times New Roman" w:hAnsi="Times New Roman"/>
          <w:b w:val="0"/>
          <w:sz w:val="24"/>
        </w:rPr>
        <w:t xml:space="preserve">Рисунок 1.1. Ситуационный план расположения </w:t>
      </w:r>
      <w:r>
        <w:rPr>
          <w:rFonts w:ascii="Times New Roman" w:hAnsi="Times New Roman"/>
          <w:b w:val="0"/>
          <w:sz w:val="24"/>
          <w:highlight w:val="green"/>
        </w:rPr>
        <w:t>{{facility.type_genitive}}</w:t>
      </w:r>
    </w:p>
    <w:p w14:paraId="33000000">
      <w:pPr>
        <w:widowControl w:val="1"/>
        <w:spacing w:after="120" w:before="240" w:line="276" w:lineRule="auto"/>
        <w:ind/>
        <w:jc w:val="left"/>
      </w:pPr>
      <w:r>
        <w:rPr>
          <w:rFonts w:ascii="Times New Roman" w:hAnsi="Times New Roman"/>
          <w:b w:val="1"/>
          <w:sz w:val="24"/>
        </w:rPr>
        <w:t>1.1. Архитектурно-планировочные решения</w:t>
      </w:r>
    </w:p>
    <w:p w14:paraId="34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if architecture.building_type == 'modular' %}</w:t>
      </w:r>
    </w:p>
    <w:p w14:paraId="35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БМК состоит из </w:t>
      </w:r>
      <w:r>
        <w:rPr>
          <w:rFonts w:ascii="Times New Roman" w:hAnsi="Times New Roman"/>
          <w:b w:val="0"/>
          <w:sz w:val="24"/>
          <w:highlight w:val="green"/>
        </w:rPr>
        <w:t>{{architecture.module_count}}</w:t>
      </w:r>
      <w:r>
        <w:rPr>
          <w:rFonts w:ascii="Times New Roman" w:hAnsi="Times New Roman"/>
          <w:b w:val="0"/>
          <w:sz w:val="24"/>
        </w:rPr>
        <w:t xml:space="preserve"> блок-модулей заводской готовности, с размерами в осях </w:t>
      </w:r>
      <w:r>
        <w:rPr>
          <w:rFonts w:ascii="Times New Roman" w:hAnsi="Times New Roman"/>
          <w:b w:val="0"/>
          <w:sz w:val="24"/>
          <w:highlight w:val="green"/>
        </w:rPr>
        <w:t>{{architecture.axes}}</w:t>
      </w:r>
      <w:r>
        <w:rPr>
          <w:rFonts w:ascii="Times New Roman" w:hAnsi="Times New Roman"/>
          <w:b w:val="0"/>
          <w:sz w:val="24"/>
        </w:rPr>
        <w:t xml:space="preserve"> – </w:t>
      </w:r>
      <w:r>
        <w:rPr>
          <w:rFonts w:ascii="Times New Roman" w:hAnsi="Times New Roman"/>
          <w:b w:val="0"/>
          <w:sz w:val="24"/>
          <w:highlight w:val="green"/>
        </w:rPr>
        <w:t>{{architecture.dimensions}}</w:t>
      </w:r>
      <w:r>
        <w:rPr>
          <w:rFonts w:ascii="Times New Roman" w:hAnsi="Times New Roman"/>
          <w:b w:val="0"/>
          <w:sz w:val="24"/>
        </w:rPr>
        <w:t>.</w:t>
      </w:r>
    </w:p>
    <w:p w14:paraId="36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Высота помещений до низа строительных конструкций </w:t>
      </w:r>
      <w:r>
        <w:rPr>
          <w:rFonts w:ascii="Times New Roman" w:hAnsi="Times New Roman"/>
          <w:b w:val="0"/>
          <w:sz w:val="24"/>
          <w:highlight w:val="green"/>
        </w:rPr>
        <w:t>{{architecture.room_height_m}}</w:t>
      </w:r>
      <w:r>
        <w:rPr>
          <w:rFonts w:ascii="Times New Roman" w:hAnsi="Times New Roman"/>
          <w:b w:val="0"/>
          <w:sz w:val="24"/>
        </w:rPr>
        <w:t xml:space="preserve"> м.</w:t>
      </w:r>
    </w:p>
    <w:p w14:paraId="37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Стены здания выполнены из панелей типа "Сэндвич" заводского изготовления, толщиной </w:t>
      </w:r>
      <w:r>
        <w:rPr>
          <w:rFonts w:ascii="Times New Roman" w:hAnsi="Times New Roman"/>
          <w:b w:val="0"/>
          <w:sz w:val="24"/>
          <w:highlight w:val="green"/>
        </w:rPr>
        <w:t>{{architecture.wall_thickness_mm}}</w:t>
      </w:r>
      <w:r>
        <w:rPr>
          <w:rFonts w:ascii="Times New Roman" w:hAnsi="Times New Roman"/>
          <w:b w:val="0"/>
          <w:sz w:val="24"/>
        </w:rPr>
        <w:t xml:space="preserve"> мм.</w:t>
      </w:r>
    </w:p>
    <w:p w14:paraId="38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Конструктивная схема здания – </w:t>
      </w:r>
      <w:r>
        <w:rPr>
          <w:rFonts w:ascii="Times New Roman" w:hAnsi="Times New Roman"/>
          <w:b w:val="0"/>
          <w:sz w:val="24"/>
          <w:highlight w:val="green"/>
        </w:rPr>
        <w:t>{{architecture.structural_scheme}}</w:t>
      </w:r>
      <w:r>
        <w:rPr>
          <w:rFonts w:ascii="Times New Roman" w:hAnsi="Times New Roman"/>
          <w:b w:val="0"/>
          <w:sz w:val="24"/>
        </w:rPr>
        <w:t>.</w:t>
      </w:r>
    </w:p>
    <w:p w14:paraId="39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else %}</w:t>
      </w:r>
    </w:p>
    <w:p w14:paraId="3A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Здание </w:t>
      </w:r>
      <w:r>
        <w:rPr>
          <w:rFonts w:ascii="Times New Roman" w:hAnsi="Times New Roman"/>
          <w:b w:val="0"/>
          <w:sz w:val="24"/>
          <w:highlight w:val="green"/>
        </w:rPr>
        <w:t>{{facility.type_genitive}}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  <w:highlight w:val="green"/>
        </w:rPr>
        <w:t>{{architecture.floors}}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  <w:highlight w:val="green"/>
        </w:rPr>
        <w:t>{{architecture.construction_type}}</w:t>
      </w:r>
      <w:r>
        <w:rPr>
          <w:rFonts w:ascii="Times New Roman" w:hAnsi="Times New Roman"/>
          <w:b w:val="0"/>
          <w:sz w:val="24"/>
        </w:rPr>
        <w:t>.</w:t>
      </w:r>
    </w:p>
    <w:p w14:paraId="3B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Габаритные размеры здания в осях </w:t>
      </w:r>
      <w:r>
        <w:rPr>
          <w:rFonts w:ascii="Times New Roman" w:hAnsi="Times New Roman"/>
          <w:b w:val="0"/>
          <w:sz w:val="24"/>
          <w:highlight w:val="green"/>
        </w:rPr>
        <w:t>{{architecture.axes}}</w:t>
      </w:r>
      <w:r>
        <w:rPr>
          <w:rFonts w:ascii="Times New Roman" w:hAnsi="Times New Roman"/>
          <w:b w:val="0"/>
          <w:sz w:val="24"/>
        </w:rPr>
        <w:t xml:space="preserve"> составляют </w:t>
      </w:r>
      <w:r>
        <w:rPr>
          <w:rFonts w:ascii="Times New Roman" w:hAnsi="Times New Roman"/>
          <w:b w:val="0"/>
          <w:sz w:val="24"/>
          <w:highlight w:val="green"/>
        </w:rPr>
        <w:t>{{architecture.dimensions}}</w:t>
      </w:r>
      <w:r>
        <w:rPr>
          <w:rFonts w:ascii="Times New Roman" w:hAnsi="Times New Roman"/>
          <w:b w:val="0"/>
          <w:sz w:val="24"/>
        </w:rPr>
        <w:t xml:space="preserve"> м.</w:t>
      </w:r>
    </w:p>
    <w:p w14:paraId="3C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Максимальная высота здания составляет </w:t>
      </w:r>
      <w:r>
        <w:rPr>
          <w:rFonts w:ascii="Times New Roman" w:hAnsi="Times New Roman"/>
          <w:b w:val="0"/>
          <w:sz w:val="24"/>
          <w:highlight w:val="green"/>
        </w:rPr>
        <w:t>{{architecture.building_height_m}}</w:t>
      </w:r>
      <w:r>
        <w:rPr>
          <w:rFonts w:ascii="Times New Roman" w:hAnsi="Times New Roman"/>
          <w:b w:val="0"/>
          <w:sz w:val="24"/>
        </w:rPr>
        <w:t xml:space="preserve"> м.</w:t>
      </w:r>
    </w:p>
    <w:p w14:paraId="3D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Конструктивная схема здания – </w:t>
      </w:r>
      <w:r>
        <w:rPr>
          <w:rFonts w:ascii="Times New Roman" w:hAnsi="Times New Roman"/>
          <w:b w:val="0"/>
          <w:sz w:val="24"/>
          <w:highlight w:val="green"/>
        </w:rPr>
        <w:t>{{architecture.structural_scheme}}</w:t>
      </w:r>
      <w:r>
        <w:rPr>
          <w:rFonts w:ascii="Times New Roman" w:hAnsi="Times New Roman"/>
          <w:b w:val="0"/>
          <w:sz w:val="24"/>
        </w:rPr>
        <w:t>.</w:t>
      </w:r>
    </w:p>
    <w:p w14:paraId="3E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p w14:paraId="3F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Уходящие газы удаляются из </w:t>
      </w:r>
      <w:r>
        <w:rPr>
          <w:rFonts w:ascii="Times New Roman" w:hAnsi="Times New Roman"/>
          <w:b w:val="0"/>
          <w:sz w:val="24"/>
          <w:highlight w:val="green"/>
        </w:rPr>
        <w:t>{{facility.type_genitive}}</w:t>
      </w:r>
      <w:r>
        <w:rPr>
          <w:rFonts w:ascii="Times New Roman" w:hAnsi="Times New Roman"/>
          <w:b w:val="0"/>
          <w:sz w:val="24"/>
        </w:rPr>
        <w:t xml:space="preserve"> по </w:t>
      </w:r>
      <w:r>
        <w:rPr>
          <w:rFonts w:ascii="Times New Roman" w:hAnsi="Times New Roman"/>
          <w:b w:val="0"/>
          <w:sz w:val="24"/>
          <w:highlight w:val="green"/>
        </w:rPr>
        <w:t>{{architecture.stack_count}}</w:t>
      </w:r>
      <w:r>
        <w:rPr>
          <w:rFonts w:ascii="Times New Roman" w:hAnsi="Times New Roman"/>
          <w:b w:val="0"/>
          <w:sz w:val="24"/>
        </w:rPr>
        <w:t xml:space="preserve"> газоотводящим стволам, внутренним диаметром </w:t>
      </w:r>
      <w:r>
        <w:rPr>
          <w:rFonts w:ascii="Times New Roman" w:hAnsi="Times New Roman"/>
          <w:b w:val="0"/>
          <w:sz w:val="24"/>
          <w:highlight w:val="green"/>
        </w:rPr>
        <w:t>{{architecture.stack_diameter_mm}}</w:t>
      </w:r>
      <w:r>
        <w:rPr>
          <w:rFonts w:ascii="Times New Roman" w:hAnsi="Times New Roman"/>
          <w:b w:val="0"/>
          <w:sz w:val="24"/>
        </w:rPr>
        <w:t xml:space="preserve"> мм. Высота верха газоотводящих стволов </w:t>
      </w:r>
      <w:r>
        <w:rPr>
          <w:rFonts w:ascii="Times New Roman" w:hAnsi="Times New Roman"/>
          <w:b w:val="0"/>
          <w:sz w:val="24"/>
          <w:highlight w:val="green"/>
        </w:rPr>
        <w:t>{{architecture.stack_height_m}}</w:t>
      </w:r>
      <w:r>
        <w:rPr>
          <w:rFonts w:ascii="Times New Roman" w:hAnsi="Times New Roman"/>
          <w:b w:val="0"/>
          <w:sz w:val="24"/>
        </w:rPr>
        <w:t xml:space="preserve"> м.</w:t>
      </w:r>
    </w:p>
    <w:p w14:paraId="40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На территории </w:t>
      </w:r>
      <w:r>
        <w:rPr>
          <w:rFonts w:ascii="Times New Roman" w:hAnsi="Times New Roman"/>
          <w:b w:val="0"/>
          <w:sz w:val="24"/>
          <w:highlight w:val="green"/>
        </w:rPr>
        <w:t>{{facility.type_genitive}}</w:t>
      </w:r>
      <w:r>
        <w:rPr>
          <w:rFonts w:ascii="Times New Roman" w:hAnsi="Times New Roman"/>
          <w:b w:val="0"/>
          <w:sz w:val="24"/>
        </w:rPr>
        <w:t xml:space="preserve"> не предусмотрены парковочные места для стоянки автомобилей, контейнерная площадка. Отстой автотранспорта при доставке обслуживающей бригады, подвозе реагентов осуществляется за пределами промплощадки, уборка территории выполняется ручными инструментами.</w:t>
      </w:r>
    </w:p>
    <w:p w14:paraId="41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>Автотранспорт на балансе предприятия отсутствует. Вывоз отходов осуществляется транспортом специализированной лицензированной организации по заявке эксплуатирующей организации.</w:t>
      </w:r>
    </w:p>
    <w:p w14:paraId="42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Въезд и выезд на промплощадку – </w:t>
      </w:r>
      <w:r>
        <w:rPr>
          <w:rFonts w:ascii="Times New Roman" w:hAnsi="Times New Roman"/>
          <w:b w:val="0"/>
          <w:sz w:val="24"/>
          <w:highlight w:val="green"/>
        </w:rPr>
        <w:t>{{architecture.entrance_description}}</w:t>
      </w:r>
      <w:r>
        <w:rPr>
          <w:rFonts w:ascii="Times New Roman" w:hAnsi="Times New Roman"/>
          <w:b w:val="0"/>
          <w:sz w:val="24"/>
        </w:rPr>
        <w:t>.</w:t>
      </w:r>
    </w:p>
    <w:p w14:paraId="43000000">
      <w:pPr>
        <w:widowControl w:val="1"/>
        <w:spacing w:after="120" w:before="240" w:line="276" w:lineRule="auto"/>
        <w:ind/>
        <w:jc w:val="left"/>
      </w:pPr>
      <w:r>
        <w:rPr>
          <w:rFonts w:ascii="Times New Roman" w:hAnsi="Times New Roman"/>
          <w:b w:val="1"/>
          <w:sz w:val="24"/>
        </w:rPr>
        <w:t>1.2. Технико-экономические и эксплуатационные показатели</w:t>
      </w:r>
    </w:p>
    <w:p w14:paraId="44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  <w:highlight w:val="green"/>
        </w:rPr>
        <w:t>{{facility.type_nominative}}</w:t>
      </w:r>
      <w:r>
        <w:rPr>
          <w:rFonts w:ascii="Times New Roman" w:hAnsi="Times New Roman"/>
          <w:b w:val="0"/>
          <w:sz w:val="24"/>
        </w:rPr>
        <w:t xml:space="preserve"> предназначена для теплоснабжения </w:t>
      </w:r>
      <w:r>
        <w:rPr>
          <w:rFonts w:ascii="Times New Roman" w:hAnsi="Times New Roman"/>
          <w:b w:val="0"/>
          <w:sz w:val="24"/>
          <w:highlight w:val="green"/>
        </w:rPr>
        <w:t>{{facility.heat_consumers}}</w:t>
      </w:r>
      <w:r>
        <w:rPr>
          <w:rFonts w:ascii="Times New Roman" w:hAnsi="Times New Roman"/>
          <w:b w:val="0"/>
          <w:sz w:val="24"/>
        </w:rPr>
        <w:t>.</w:t>
      </w:r>
    </w:p>
    <w:p w14:paraId="45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Режим работы </w:t>
      </w:r>
      <w:r>
        <w:rPr>
          <w:rFonts w:ascii="Times New Roman" w:hAnsi="Times New Roman"/>
          <w:b w:val="0"/>
          <w:sz w:val="24"/>
          <w:highlight w:val="green"/>
        </w:rPr>
        <w:t>{{facility.type_genitive}}</w:t>
      </w:r>
      <w:r>
        <w:rPr>
          <w:rFonts w:ascii="Times New Roman" w:hAnsi="Times New Roman"/>
          <w:b w:val="0"/>
          <w:sz w:val="24"/>
        </w:rPr>
        <w:t xml:space="preserve"> – </w:t>
      </w:r>
      <w:r>
        <w:rPr>
          <w:rFonts w:ascii="Times New Roman" w:hAnsi="Times New Roman"/>
          <w:b w:val="0"/>
          <w:sz w:val="24"/>
          <w:highlight w:val="green"/>
        </w:rPr>
        <w:t>{{heat_supply.operation_mode}}</w:t>
      </w:r>
      <w:r>
        <w:rPr>
          <w:rFonts w:ascii="Times New Roman" w:hAnsi="Times New Roman"/>
          <w:b w:val="0"/>
          <w:sz w:val="24"/>
        </w:rPr>
        <w:t>.</w:t>
      </w:r>
    </w:p>
    <w:p w14:paraId="46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Установленная мощность </w:t>
      </w:r>
      <w:r>
        <w:rPr>
          <w:rFonts w:ascii="Times New Roman" w:hAnsi="Times New Roman"/>
          <w:b w:val="0"/>
          <w:sz w:val="24"/>
          <w:highlight w:val="green"/>
        </w:rPr>
        <w:t>{{facility.type_genitive}}</w:t>
      </w:r>
      <w:r>
        <w:rPr>
          <w:rFonts w:ascii="Times New Roman" w:hAnsi="Times New Roman"/>
          <w:b w:val="0"/>
          <w:sz w:val="24"/>
        </w:rPr>
        <w:t xml:space="preserve">: </w:t>
      </w:r>
      <w:r>
        <w:rPr>
          <w:rFonts w:ascii="Times New Roman" w:hAnsi="Times New Roman"/>
          <w:b w:val="0"/>
          <w:sz w:val="24"/>
          <w:highlight w:val="green"/>
        </w:rPr>
        <w:t>{{facility.capacity_mw}}</w:t>
      </w:r>
      <w:r>
        <w:rPr>
          <w:rFonts w:ascii="Times New Roman" w:hAnsi="Times New Roman"/>
          <w:b w:val="0"/>
          <w:sz w:val="24"/>
        </w:rPr>
        <w:t xml:space="preserve"> МВт (</w:t>
      </w:r>
      <w:r>
        <w:rPr>
          <w:rFonts w:ascii="Times New Roman" w:hAnsi="Times New Roman"/>
          <w:b w:val="0"/>
          <w:sz w:val="24"/>
          <w:highlight w:val="green"/>
        </w:rPr>
        <w:t>{{facility.capacity_gcal}}</w:t>
      </w:r>
      <w:r>
        <w:rPr>
          <w:rFonts w:ascii="Times New Roman" w:hAnsi="Times New Roman"/>
          <w:b w:val="0"/>
          <w:sz w:val="24"/>
        </w:rPr>
        <w:t xml:space="preserve"> Гкал/ч).</w:t>
      </w:r>
    </w:p>
    <w:p w14:paraId="47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Система теплоснабжения – </w:t>
      </w:r>
      <w:r>
        <w:rPr>
          <w:rFonts w:ascii="Times New Roman" w:hAnsi="Times New Roman"/>
          <w:b w:val="0"/>
          <w:sz w:val="24"/>
          <w:highlight w:val="green"/>
        </w:rPr>
        <w:t>{{heat_supply.system_type}}</w:t>
      </w:r>
      <w:r>
        <w:rPr>
          <w:rFonts w:ascii="Times New Roman" w:hAnsi="Times New Roman"/>
          <w:b w:val="0"/>
          <w:sz w:val="24"/>
        </w:rPr>
        <w:t>.</w:t>
      </w:r>
    </w:p>
    <w:p w14:paraId="48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Теплоносителем является: </w:t>
      </w:r>
      <w:r>
        <w:rPr>
          <w:rFonts w:ascii="Times New Roman" w:hAnsi="Times New Roman"/>
          <w:b w:val="0"/>
          <w:sz w:val="24"/>
          <w:highlight w:val="green"/>
        </w:rPr>
        <w:t>{{heat_supply.heat_carrier}}</w:t>
      </w:r>
      <w:r>
        <w:rPr>
          <w:rFonts w:ascii="Times New Roman" w:hAnsi="Times New Roman"/>
          <w:b w:val="0"/>
          <w:sz w:val="24"/>
        </w:rPr>
        <w:t>.</w:t>
      </w:r>
    </w:p>
    <w:p w14:paraId="49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Температурный график: </w:t>
      </w:r>
      <w:r>
        <w:rPr>
          <w:rFonts w:ascii="Times New Roman" w:hAnsi="Times New Roman"/>
          <w:b w:val="0"/>
          <w:sz w:val="24"/>
          <w:highlight w:val="green"/>
        </w:rPr>
        <w:t>{{heat_supply.temperature_schedule}}</w:t>
      </w:r>
      <w:r>
        <w:rPr>
          <w:rFonts w:ascii="Times New Roman" w:hAnsi="Times New Roman"/>
          <w:b w:val="0"/>
          <w:sz w:val="24"/>
        </w:rPr>
        <w:t>.</w:t>
      </w:r>
    </w:p>
    <w:p w14:paraId="4A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>Проектом предусмотрена установка водогрейных котлов:</w:t>
      </w:r>
    </w:p>
    <w:p w14:paraId="4B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for boiler in boilers.boilers %}</w:t>
      </w:r>
    </w:p>
    <w:p w14:paraId="4C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- </w:t>
      </w:r>
      <w:r>
        <w:rPr>
          <w:rFonts w:ascii="Times New Roman" w:hAnsi="Times New Roman"/>
          <w:b w:val="0"/>
          <w:sz w:val="24"/>
          <w:highlight w:val="green"/>
        </w:rPr>
        <w:t>{{boiler.name}}</w:t>
      </w:r>
      <w:r>
        <w:rPr>
          <w:rFonts w:ascii="Times New Roman" w:hAnsi="Times New Roman"/>
          <w:b w:val="0"/>
          <w:sz w:val="24"/>
        </w:rPr>
        <w:t>, фирмы «</w:t>
      </w:r>
      <w:r>
        <w:rPr>
          <w:rFonts w:ascii="Times New Roman" w:hAnsi="Times New Roman"/>
          <w:b w:val="0"/>
          <w:sz w:val="24"/>
          <w:highlight w:val="green"/>
        </w:rPr>
        <w:t>{{boiler.manufacturer}}</w:t>
      </w:r>
      <w:r>
        <w:rPr>
          <w:rFonts w:ascii="Times New Roman" w:hAnsi="Times New Roman"/>
          <w:b w:val="0"/>
          <w:sz w:val="24"/>
        </w:rPr>
        <w:t xml:space="preserve">» единичной мощностью </w:t>
      </w:r>
      <w:r>
        <w:rPr>
          <w:rFonts w:ascii="Times New Roman" w:hAnsi="Times New Roman"/>
          <w:b w:val="0"/>
          <w:sz w:val="24"/>
          <w:highlight w:val="green"/>
        </w:rPr>
        <w:t>{{boiler.capacity_kw}}</w:t>
      </w:r>
      <w:r>
        <w:rPr>
          <w:rFonts w:ascii="Times New Roman" w:hAnsi="Times New Roman"/>
          <w:b w:val="0"/>
          <w:sz w:val="24"/>
        </w:rPr>
        <w:t xml:space="preserve"> кВт, с </w:t>
      </w:r>
      <w:r>
        <w:rPr>
          <w:rFonts w:ascii="Times New Roman" w:hAnsi="Times New Roman"/>
          <w:b w:val="0"/>
          <w:sz w:val="24"/>
          <w:highlight w:val="green"/>
        </w:rPr>
        <w:t>{{boiler.burner_type}}</w:t>
      </w:r>
      <w:r>
        <w:rPr>
          <w:rFonts w:ascii="Times New Roman" w:hAnsi="Times New Roman"/>
          <w:b w:val="0"/>
          <w:sz w:val="24"/>
        </w:rPr>
        <w:t xml:space="preserve"> горелкой </w:t>
      </w:r>
      <w:r>
        <w:rPr>
          <w:rFonts w:ascii="Times New Roman" w:hAnsi="Times New Roman"/>
          <w:b w:val="0"/>
          <w:sz w:val="24"/>
          <w:highlight w:val="green"/>
        </w:rPr>
        <w:t>{{boiler.burner_model}}</w:t>
      </w:r>
      <w:r>
        <w:rPr>
          <w:rFonts w:ascii="Times New Roman" w:hAnsi="Times New Roman"/>
          <w:b w:val="0"/>
          <w:sz w:val="24"/>
        </w:rPr>
        <w:t xml:space="preserve"> мощностью </w:t>
      </w:r>
      <w:r>
        <w:rPr>
          <w:rFonts w:ascii="Times New Roman" w:hAnsi="Times New Roman"/>
          <w:b w:val="0"/>
          <w:sz w:val="24"/>
          <w:highlight w:val="green"/>
        </w:rPr>
        <w:t>{{boiler.burner_capacity}}</w:t>
      </w:r>
      <w:r>
        <w:rPr>
          <w:rFonts w:ascii="Times New Roman" w:hAnsi="Times New Roman"/>
          <w:b w:val="0"/>
          <w:sz w:val="24"/>
        </w:rPr>
        <w:t xml:space="preserve"> кВт;</w:t>
      </w:r>
    </w:p>
    <w:p w14:paraId="4D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endfor %}</w:t>
      </w:r>
    </w:p>
    <w:p w14:paraId="4E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>Для работы котлоагрегатов и системы теплоснабжения в заданных режимах выбраны следующие виды вспомогательного оборудования (возможна замена на аналог):</w:t>
      </w:r>
    </w:p>
    <w:p w14:paraId="4F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for pump in pumps.pumps %}</w:t>
      </w:r>
    </w:p>
    <w:p w14:paraId="50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- </w:t>
      </w:r>
      <w:r>
        <w:rPr>
          <w:rFonts w:ascii="Times New Roman" w:hAnsi="Times New Roman"/>
          <w:b w:val="0"/>
          <w:sz w:val="24"/>
          <w:highlight w:val="green"/>
        </w:rPr>
        <w:t>{{pump.name}}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  <w:highlight w:val="green"/>
        </w:rPr>
        <w:t>{{pump.model}}</w:t>
      </w:r>
      <w:r>
        <w:rPr>
          <w:rFonts w:ascii="Times New Roman" w:hAnsi="Times New Roman"/>
          <w:b w:val="0"/>
          <w:sz w:val="24"/>
        </w:rPr>
        <w:t xml:space="preserve"> фирмы «</w:t>
      </w:r>
      <w:r>
        <w:rPr>
          <w:rFonts w:ascii="Times New Roman" w:hAnsi="Times New Roman"/>
          <w:b w:val="0"/>
          <w:sz w:val="24"/>
          <w:highlight w:val="green"/>
        </w:rPr>
        <w:t>{{pump.manufacturer}}</w:t>
      </w:r>
      <w:r>
        <w:rPr>
          <w:rFonts w:ascii="Times New Roman" w:hAnsi="Times New Roman"/>
          <w:b w:val="0"/>
          <w:sz w:val="24"/>
        </w:rPr>
        <w:t>», G=</w:t>
      </w:r>
      <w:r>
        <w:rPr>
          <w:rFonts w:ascii="Times New Roman" w:hAnsi="Times New Roman"/>
          <w:b w:val="0"/>
          <w:sz w:val="24"/>
          <w:highlight w:val="green"/>
        </w:rPr>
        <w:t>{{pump.flow_rate}}</w:t>
      </w:r>
      <w:r>
        <w:rPr>
          <w:rFonts w:ascii="Times New Roman" w:hAnsi="Times New Roman"/>
          <w:b w:val="0"/>
          <w:sz w:val="24"/>
        </w:rPr>
        <w:t xml:space="preserve"> м³/ч, Н=</w:t>
      </w:r>
      <w:r>
        <w:rPr>
          <w:rFonts w:ascii="Times New Roman" w:hAnsi="Times New Roman"/>
          <w:b w:val="0"/>
          <w:sz w:val="24"/>
          <w:highlight w:val="green"/>
        </w:rPr>
        <w:t>{{pump.head}}</w:t>
      </w:r>
      <w:r>
        <w:rPr>
          <w:rFonts w:ascii="Times New Roman" w:hAnsi="Times New Roman"/>
          <w:b w:val="0"/>
          <w:sz w:val="24"/>
        </w:rPr>
        <w:t xml:space="preserve"> м в.ст., (</w:t>
      </w:r>
      <w:r>
        <w:rPr>
          <w:rFonts w:ascii="Times New Roman" w:hAnsi="Times New Roman"/>
          <w:b w:val="0"/>
          <w:sz w:val="24"/>
          <w:highlight w:val="green"/>
        </w:rPr>
        <w:t>{{pump.operation_scheme}}</w:t>
      </w:r>
      <w:r>
        <w:rPr>
          <w:rFonts w:ascii="Times New Roman" w:hAnsi="Times New Roman"/>
          <w:b w:val="0"/>
          <w:sz w:val="24"/>
        </w:rPr>
        <w:t>);</w:t>
      </w:r>
    </w:p>
    <w:p w14:paraId="51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endfor %}</w:t>
      </w:r>
    </w:p>
    <w:p w14:paraId="52000000">
      <w:pPr>
        <w:widowControl w:val="1"/>
        <w:spacing w:after="120" w:before="240" w:line="276" w:lineRule="auto"/>
        <w:ind/>
        <w:jc w:val="left"/>
      </w:pPr>
      <w:r>
        <w:rPr>
          <w:rFonts w:ascii="Times New Roman" w:hAnsi="Times New Roman"/>
          <w:b w:val="1"/>
          <w:sz w:val="24"/>
        </w:rPr>
        <w:t>1.3. Обеспечение объекта проектирования ресурсами</w:t>
      </w:r>
    </w:p>
    <w:p w14:paraId="53000000">
      <w:pPr>
        <w:widowControl w:val="1"/>
        <w:spacing w:after="120" w:before="240" w:line="276" w:lineRule="auto"/>
        <w:ind/>
        <w:jc w:val="left"/>
      </w:pPr>
      <w:r>
        <w:rPr>
          <w:rFonts w:ascii="Times New Roman" w:hAnsi="Times New Roman"/>
          <w:b w:val="1"/>
          <w:sz w:val="24"/>
        </w:rPr>
        <w:t>1.3.1. Обеспечение топливом</w:t>
      </w:r>
    </w:p>
    <w:p w14:paraId="54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1"/>
          <w:sz w:val="24"/>
        </w:rPr>
        <w:t>Основное топливо</w:t>
      </w:r>
    </w:p>
    <w:p w14:paraId="55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В соответствии с заданием на проектирование в качестве основного топлива предусмотрен </w:t>
      </w:r>
      <w:r>
        <w:rPr>
          <w:rFonts w:ascii="Times New Roman" w:hAnsi="Times New Roman"/>
          <w:b w:val="0"/>
          <w:sz w:val="24"/>
          <w:highlight w:val="green"/>
        </w:rPr>
        <w:t>{{fuel.primary_fuel}}</w:t>
      </w:r>
      <w:r>
        <w:rPr>
          <w:rFonts w:ascii="Times New Roman" w:hAnsi="Times New Roman"/>
          <w:i w:val="1"/>
          <w:sz w:val="24"/>
        </w:rPr>
        <w:t>{%if fuel.calorific_value %}</w:t>
      </w:r>
      <w:r>
        <w:rPr>
          <w:rFonts w:ascii="Times New Roman" w:hAnsi="Times New Roman"/>
          <w:b w:val="0"/>
          <w:sz w:val="24"/>
        </w:rPr>
        <w:t xml:space="preserve"> (теплотворная способность </w:t>
      </w:r>
      <w:r>
        <w:rPr>
          <w:rFonts w:ascii="Times New Roman" w:hAnsi="Times New Roman"/>
          <w:b w:val="0"/>
          <w:sz w:val="24"/>
          <w:highlight w:val="green"/>
        </w:rPr>
        <w:t>{{fuel.calorific_value}}</w:t>
      </w:r>
      <w:r>
        <w:rPr>
          <w:rFonts w:ascii="Times New Roman" w:hAnsi="Times New Roman"/>
          <w:b w:val="0"/>
          <w:sz w:val="24"/>
        </w:rPr>
        <w:t xml:space="preserve"> ккал/м³, плотность – </w:t>
      </w:r>
      <w:r>
        <w:rPr>
          <w:rFonts w:ascii="Times New Roman" w:hAnsi="Times New Roman"/>
          <w:b w:val="0"/>
          <w:sz w:val="24"/>
          <w:highlight w:val="green"/>
        </w:rPr>
        <w:t>{{fuel.fuel_density}}</w:t>
      </w:r>
      <w:r>
        <w:rPr>
          <w:rFonts w:ascii="Times New Roman" w:hAnsi="Times New Roman"/>
          <w:b w:val="0"/>
          <w:sz w:val="24"/>
        </w:rPr>
        <w:t xml:space="preserve"> кг/м³)</w:t>
      </w:r>
      <w:r>
        <w:rPr>
          <w:rFonts w:ascii="Times New Roman" w:hAnsi="Times New Roman"/>
          <w:i w:val="1"/>
          <w:sz w:val="24"/>
        </w:rPr>
        <w:t>{%endif%}</w:t>
      </w:r>
      <w:r>
        <w:rPr>
          <w:rFonts w:ascii="Times New Roman" w:hAnsi="Times New Roman"/>
          <w:b w:val="0"/>
          <w:sz w:val="24"/>
        </w:rPr>
        <w:t>.</w:t>
      </w:r>
    </w:p>
    <w:p w14:paraId="56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>Часовые и годовые расходы топлива на каждый котел представлены в таблице 1.1.</w:t>
      </w:r>
    </w:p>
    <w:p w14:paraId="57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1"/>
          <w:sz w:val="24"/>
        </w:rPr>
        <w:t xml:space="preserve">Таблица 1.1. Часовые и годовые расходы основного (газового) топлива </w:t>
      </w:r>
      <w:r>
        <w:rPr>
          <w:rFonts w:ascii="Times New Roman" w:hAnsi="Times New Roman"/>
          <w:b w:val="1"/>
          <w:sz w:val="24"/>
          <w:highlight w:val="green"/>
        </w:rPr>
        <w:t>{{facility.type_genitive}}</w:t>
      </w:r>
    </w:p>
    <w:tbl>
      <w:tblPr>
        <w:tblStyle w:val="Style_1"/>
        <w:tblW w:type="auto" w:w="0"/>
        <w:tblLayout w:type="fixed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 w14:paraId="58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Наименование потребителей</w:t>
            </w:r>
          </w:p>
        </w:tc>
        <w:tc>
          <w:tcPr>
            <w:tcW w:type="dxa" w:w="2493"/>
          </w:tcPr>
          <w:p w14:paraId="59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При макс. производительности, м³/ч</w:t>
            </w:r>
          </w:p>
        </w:tc>
        <w:tc>
          <w:tcPr>
            <w:tcW w:type="dxa" w:w="2493"/>
          </w:tcPr>
          <w:p w14:paraId="5A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Режим холодного месяца, м³/ч</w:t>
            </w:r>
          </w:p>
        </w:tc>
        <w:tc>
          <w:tcPr>
            <w:tcW w:type="dxa" w:w="2493"/>
          </w:tcPr>
          <w:p w14:paraId="5B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При мин. производительности, м³/ч</w:t>
            </w:r>
          </w:p>
        </w:tc>
      </w:tr>
      <w:tr>
        <w:tc>
          <w:tcPr>
            <w:tcW w:type="dxa" w:w="2493"/>
          </w:tcPr>
          <w:p w14:paraId="5C000000">
            <w:r>
              <w:rPr>
                <w:rFonts w:ascii="Times New Roman" w:hAnsi="Times New Roman"/>
                <w:i w:val="1"/>
                <w:sz w:val="20"/>
              </w:rPr>
              <w:t>{%tr for row in fuel.consumption_table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 w14:paraId="5D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0"/>
                <w:sz w:val="20"/>
                <w:highlight w:val="green"/>
              </w:rPr>
              <w:t>{{row.consumer_name}}</w:t>
            </w:r>
          </w:p>
        </w:tc>
        <w:tc>
          <w:tcPr>
            <w:tcW w:type="dxa" w:w="2493"/>
          </w:tcPr>
          <w:p w14:paraId="5E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0"/>
                <w:sz w:val="20"/>
                <w:highlight w:val="green"/>
              </w:rPr>
              <w:t>{{row.max_rate}}</w:t>
            </w:r>
          </w:p>
        </w:tc>
        <w:tc>
          <w:tcPr>
            <w:tcW w:type="dxa" w:w="2493"/>
          </w:tcPr>
          <w:p w14:paraId="5F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0"/>
                <w:sz w:val="20"/>
                <w:highlight w:val="green"/>
              </w:rPr>
              <w:t>{{row.cold_month_rate}}</w:t>
            </w:r>
          </w:p>
        </w:tc>
        <w:tc>
          <w:tcPr>
            <w:tcW w:type="dxa" w:w="2493"/>
          </w:tcPr>
          <w:p w14:paraId="60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0"/>
                <w:sz w:val="20"/>
                <w:highlight w:val="green"/>
              </w:rPr>
              <w:t>{{row.min_rate}}</w:t>
            </w:r>
          </w:p>
        </w:tc>
      </w:tr>
      <w:tr>
        <w:tc>
          <w:tcPr>
            <w:tcW w:type="dxa" w:w="2493"/>
          </w:tcPr>
          <w:p w14:paraId="61000000">
            <w:r>
              <w:rPr>
                <w:rFonts w:ascii="Times New Roman" w:hAnsi="Times New Roman"/>
                <w:i w:val="1"/>
                <w:sz w:val="20"/>
              </w:rPr>
              <w:t>{%tr endfor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 w14:paraId="62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1"/>
                <w:sz w:val="20"/>
              </w:rPr>
              <w:t>ИТОГО</w:t>
            </w:r>
          </w:p>
        </w:tc>
        <w:tc>
          <w:tcPr>
            <w:tcW w:type="dxa" w:w="2493"/>
          </w:tcPr>
          <w:p w14:paraId="63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0"/>
                <w:sz w:val="20"/>
                <w:highlight w:val="green"/>
              </w:rPr>
              <w:t>{{fuel.total_max}}</w:t>
            </w:r>
          </w:p>
        </w:tc>
        <w:tc>
          <w:tcPr>
            <w:tcW w:type="dxa" w:w="2493"/>
          </w:tcPr>
          <w:p w14:paraId="64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0"/>
                <w:sz w:val="20"/>
                <w:highlight w:val="green"/>
              </w:rPr>
              <w:t>{{fuel.total_cold_month}}</w:t>
            </w:r>
          </w:p>
        </w:tc>
        <w:tc>
          <w:tcPr>
            <w:tcW w:type="dxa" w:w="2493"/>
          </w:tcPr>
          <w:p w14:paraId="65000000">
            <w:pPr>
              <w:widowControl w:val="1"/>
              <w:ind/>
              <w:jc w:val="center"/>
            </w:pPr>
            <w:r>
              <w:rPr>
                <w:rFonts w:ascii="Times New Roman" w:hAnsi="Times New Roman"/>
                <w:b w:val="0"/>
                <w:sz w:val="20"/>
                <w:highlight w:val="green"/>
              </w:rPr>
              <w:t>{{fuel.total_min}}</w:t>
            </w:r>
          </w:p>
        </w:tc>
      </w:tr>
    </w:tbl>
    <w:p w14:paraId="66000000"/>
    <w:p w14:paraId="67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Годовой расход топлива составляет </w:t>
      </w:r>
      <w:r>
        <w:rPr>
          <w:rFonts w:ascii="Times New Roman" w:hAnsi="Times New Roman"/>
          <w:b w:val="0"/>
          <w:sz w:val="24"/>
          <w:highlight w:val="green"/>
        </w:rPr>
        <w:t>{{fuel.annual_consumption}}</w:t>
      </w:r>
      <w:r>
        <w:rPr>
          <w:rFonts w:ascii="Times New Roman" w:hAnsi="Times New Roman"/>
          <w:b w:val="0"/>
          <w:sz w:val="24"/>
        </w:rPr>
        <w:t xml:space="preserve"> тыс. м³.</w:t>
      </w:r>
    </w:p>
    <w:p w14:paraId="68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if fuel.has_emergency_fuel %}</w:t>
      </w:r>
    </w:p>
    <w:p w14:paraId="69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1"/>
          <w:sz w:val="24"/>
        </w:rPr>
        <w:t>Аварийное топливо</w:t>
      </w:r>
    </w:p>
    <w:p w14:paraId="6A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  <w:highlight w:val="green"/>
        </w:rPr>
        <w:t>{{fuel.emergency_fuel_description}}</w:t>
      </w:r>
    </w:p>
    <w:p w14:paraId="6B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else %}</w:t>
      </w:r>
    </w:p>
    <w:p w14:paraId="6C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>Аварийное и резервное топливо не предусмотрено.</w:t>
      </w:r>
    </w:p>
    <w:p w14:paraId="6D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p w14:paraId="6E000000">
      <w:pPr>
        <w:widowControl w:val="1"/>
        <w:spacing w:after="120" w:before="240" w:line="276" w:lineRule="auto"/>
        <w:ind/>
        <w:jc w:val="left"/>
      </w:pPr>
      <w:r>
        <w:rPr>
          <w:rFonts w:ascii="Times New Roman" w:hAnsi="Times New Roman"/>
          <w:b w:val="1"/>
          <w:sz w:val="24"/>
        </w:rPr>
        <w:t>1.3.2. Электроснабжение</w:t>
      </w:r>
    </w:p>
    <w:p w14:paraId="6F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Электроснабжение </w:t>
      </w:r>
      <w:r>
        <w:rPr>
          <w:rFonts w:ascii="Times New Roman" w:hAnsi="Times New Roman"/>
          <w:b w:val="0"/>
          <w:sz w:val="24"/>
          <w:highlight w:val="green"/>
        </w:rPr>
        <w:t>{{facility.type_genitive}}</w:t>
      </w:r>
      <w:r>
        <w:rPr>
          <w:rFonts w:ascii="Times New Roman" w:hAnsi="Times New Roman"/>
          <w:b w:val="0"/>
          <w:sz w:val="24"/>
        </w:rPr>
        <w:t xml:space="preserve"> предусмотрено </w:t>
      </w:r>
      <w:r>
        <w:rPr>
          <w:rFonts w:ascii="Times New Roman" w:hAnsi="Times New Roman"/>
          <w:b w:val="0"/>
          <w:sz w:val="24"/>
          <w:highlight w:val="green"/>
        </w:rPr>
        <w:t>{{power_supply.source}}</w:t>
      </w:r>
      <w:r>
        <w:rPr>
          <w:rFonts w:ascii="Times New Roman" w:hAnsi="Times New Roman"/>
          <w:b w:val="0"/>
          <w:sz w:val="24"/>
        </w:rPr>
        <w:t>.</w:t>
      </w:r>
    </w:p>
    <w:p w14:paraId="70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if power_supply.reliability_category %}</w:t>
      </w:r>
    </w:p>
    <w:p w14:paraId="71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По надежности электроснабжения электроприемники </w:t>
      </w:r>
      <w:r>
        <w:rPr>
          <w:rFonts w:ascii="Times New Roman" w:hAnsi="Times New Roman"/>
          <w:b w:val="0"/>
          <w:sz w:val="24"/>
          <w:highlight w:val="green"/>
        </w:rPr>
        <w:t>{{facility.type_genitive}}</w:t>
      </w:r>
      <w:r>
        <w:rPr>
          <w:rFonts w:ascii="Times New Roman" w:hAnsi="Times New Roman"/>
          <w:b w:val="0"/>
          <w:sz w:val="24"/>
        </w:rPr>
        <w:t xml:space="preserve"> относятся к </w:t>
      </w:r>
      <w:r>
        <w:rPr>
          <w:rFonts w:ascii="Times New Roman" w:hAnsi="Times New Roman"/>
          <w:b w:val="0"/>
          <w:sz w:val="24"/>
          <w:highlight w:val="green"/>
        </w:rPr>
        <w:t>{{power_supply.reliability_category}}</w:t>
      </w:r>
      <w:r>
        <w:rPr>
          <w:rFonts w:ascii="Times New Roman" w:hAnsi="Times New Roman"/>
          <w:b w:val="0"/>
          <w:sz w:val="24"/>
        </w:rPr>
        <w:t xml:space="preserve"> категории.</w:t>
      </w:r>
    </w:p>
    <w:p w14:paraId="72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p w14:paraId="73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if power_supply.has_diesel_generator %}</w:t>
      </w:r>
    </w:p>
    <w:p w14:paraId="74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В периоды аварийного отключения основного электроснабжения предусматривается использование дизель-генераторной установки </w:t>
      </w:r>
      <w:r>
        <w:rPr>
          <w:rFonts w:ascii="Times New Roman" w:hAnsi="Times New Roman"/>
          <w:b w:val="0"/>
          <w:sz w:val="24"/>
          <w:highlight w:val="green"/>
        </w:rPr>
        <w:t>{{power_supply.diesel_generator_model}}</w:t>
      </w:r>
      <w:r>
        <w:rPr>
          <w:rFonts w:ascii="Times New Roman" w:hAnsi="Times New Roman"/>
          <w:b w:val="0"/>
          <w:sz w:val="24"/>
        </w:rPr>
        <w:t xml:space="preserve"> мощностью </w:t>
      </w:r>
      <w:r>
        <w:rPr>
          <w:rFonts w:ascii="Times New Roman" w:hAnsi="Times New Roman"/>
          <w:b w:val="0"/>
          <w:sz w:val="24"/>
          <w:highlight w:val="green"/>
        </w:rPr>
        <w:t>{{power_supply.diesel_generator_power_kw}}</w:t>
      </w:r>
      <w:r>
        <w:rPr>
          <w:rFonts w:ascii="Times New Roman" w:hAnsi="Times New Roman"/>
          <w:b w:val="0"/>
          <w:sz w:val="24"/>
        </w:rPr>
        <w:t xml:space="preserve"> кВт.</w:t>
      </w:r>
    </w:p>
    <w:p w14:paraId="75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Дизельное топливо для ДГУ хранится в баке, встроенном в раму ДГУ, объемом </w:t>
      </w:r>
      <w:r>
        <w:rPr>
          <w:rFonts w:ascii="Times New Roman" w:hAnsi="Times New Roman"/>
          <w:b w:val="0"/>
          <w:sz w:val="24"/>
          <w:highlight w:val="green"/>
        </w:rPr>
        <w:t>{{power_supply.diesel_tank_volume_l}}</w:t>
      </w:r>
      <w:r>
        <w:rPr>
          <w:rFonts w:ascii="Times New Roman" w:hAnsi="Times New Roman"/>
          <w:b w:val="0"/>
          <w:sz w:val="24"/>
        </w:rPr>
        <w:t xml:space="preserve"> л. Запас топлива обеспечивает работу ДГУ в течение </w:t>
      </w:r>
      <w:r>
        <w:rPr>
          <w:rFonts w:ascii="Times New Roman" w:hAnsi="Times New Roman"/>
          <w:b w:val="0"/>
          <w:sz w:val="24"/>
          <w:highlight w:val="green"/>
        </w:rPr>
        <w:t>{{power_supply.diesel_runtime_hours}}</w:t>
      </w:r>
      <w:r>
        <w:rPr>
          <w:rFonts w:ascii="Times New Roman" w:hAnsi="Times New Roman"/>
          <w:b w:val="0"/>
          <w:sz w:val="24"/>
        </w:rPr>
        <w:t xml:space="preserve"> часов.</w:t>
      </w:r>
    </w:p>
    <w:p w14:paraId="76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p w14:paraId="77000000">
      <w:pPr>
        <w:widowControl w:val="1"/>
        <w:spacing w:after="120" w:before="240" w:line="276" w:lineRule="auto"/>
        <w:ind/>
        <w:jc w:val="left"/>
      </w:pPr>
      <w:r>
        <w:rPr>
          <w:rFonts w:ascii="Times New Roman" w:hAnsi="Times New Roman"/>
          <w:b w:val="1"/>
          <w:sz w:val="24"/>
        </w:rPr>
        <w:t>1.3.3. Химводоочистка</w:t>
      </w:r>
    </w:p>
    <w:p w14:paraId="78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>С целью достижения нормативного уровня по показателям используемой воды проектными решениями предусмотрена система водоподготовки, состоящая из следующих блоков:</w:t>
      </w:r>
    </w:p>
    <w:p w14:paraId="79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for item in water_treatment.equipment %}</w:t>
      </w:r>
    </w:p>
    <w:p w14:paraId="7A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- </w:t>
      </w:r>
      <w:r>
        <w:rPr>
          <w:rFonts w:ascii="Times New Roman" w:hAnsi="Times New Roman"/>
          <w:b w:val="0"/>
          <w:sz w:val="24"/>
          <w:highlight w:val="green"/>
        </w:rPr>
        <w:t>{{item}}</w:t>
      </w:r>
      <w:r>
        <w:rPr>
          <w:rFonts w:ascii="Times New Roman" w:hAnsi="Times New Roman"/>
          <w:b w:val="0"/>
          <w:sz w:val="24"/>
        </w:rPr>
        <w:t>;</w:t>
      </w:r>
    </w:p>
    <w:p w14:paraId="7B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endfor %}</w:t>
      </w:r>
    </w:p>
    <w:p w14:paraId="7C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>Оборудование ХВП применяется для снижения жесткости, удаления растворенного кислорода, удаления окисленных соединений железа и коррекции уровня рН воды, применяемой в качестве теплоносителя в системе отопления, а также для подпитки котельных установок.</w:t>
      </w:r>
    </w:p>
    <w:p w14:paraId="7D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>Хим.водоподготовка не является источником выделения загрязняющих веществ в атмосферный воздух.</w:t>
      </w:r>
    </w:p>
    <w:p w14:paraId="7E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>Реагент подвозится обслуживающей котельную бригадой периодически, 1 раз в месяц, в соответствии с графиком производства профилактических обслуживающих работ. Бак автоматического дозирования реагентов заправляется добавлением готового раствора бригадой в систему подпитки непосредственно при доставке реагентов 1 раз в месяц. Процесс хим.водоподготовки полностью автоматизирован. Запас реагентов на котельной не хранится.</w:t>
      </w:r>
    </w:p>
    <w:p w14:paraId="7F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>Отстой автотранспорта при подвозе реагентов осуществляется за пределами промплощадки.</w:t>
      </w:r>
    </w:p>
    <w:p w14:paraId="80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Въезд и выезд на промплощадку – </w:t>
      </w:r>
      <w:r>
        <w:rPr>
          <w:rFonts w:ascii="Times New Roman" w:hAnsi="Times New Roman"/>
          <w:b w:val="0"/>
          <w:sz w:val="24"/>
          <w:highlight w:val="green"/>
        </w:rPr>
        <w:t>{{architecture.entrance_description}}</w:t>
      </w:r>
      <w:r>
        <w:rPr>
          <w:rFonts w:ascii="Times New Roman" w:hAnsi="Times New Roman"/>
          <w:b w:val="0"/>
          <w:sz w:val="24"/>
        </w:rPr>
        <w:t>.</w:t>
      </w:r>
    </w:p>
    <w:p w14:paraId="81000000">
      <w:pPr>
        <w:widowControl w:val="1"/>
        <w:spacing w:after="120" w:before="240" w:line="276" w:lineRule="auto"/>
        <w:ind/>
        <w:jc w:val="left"/>
      </w:pPr>
      <w:r>
        <w:rPr>
          <w:rFonts w:ascii="Times New Roman" w:hAnsi="Times New Roman"/>
          <w:b w:val="1"/>
          <w:sz w:val="24"/>
        </w:rPr>
        <w:t>1.3.4. Инженерные сети</w:t>
      </w:r>
    </w:p>
    <w:p w14:paraId="82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if utility_networks.gas_supply %}</w:t>
      </w:r>
    </w:p>
    <w:p w14:paraId="83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  <w:highlight w:val="green"/>
        </w:rPr>
        <w:t>{{utility_networks.gas_supply}}</w:t>
      </w:r>
    </w:p>
    <w:p w14:paraId="84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p w14:paraId="85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if utility_networks.water_supply %}</w:t>
      </w:r>
    </w:p>
    <w:p w14:paraId="86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  <w:highlight w:val="green"/>
        </w:rPr>
        <w:t>{{utility_networks.water_supply}}</w:t>
      </w:r>
    </w:p>
    <w:p w14:paraId="87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p w14:paraId="88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if utility_networks.sewerage %}</w:t>
      </w:r>
    </w:p>
    <w:p w14:paraId="89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  <w:highlight w:val="green"/>
        </w:rPr>
        <w:t>{{utility_networks.sewerage}}</w:t>
      </w:r>
    </w:p>
    <w:p w14:paraId="8A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p w14:paraId="8B000000">
      <w:pPr>
        <w:widowControl w:val="1"/>
        <w:spacing w:after="120" w:before="240" w:line="276" w:lineRule="auto"/>
        <w:ind/>
        <w:jc w:val="left"/>
      </w:pPr>
      <w:r>
        <w:rPr>
          <w:rFonts w:ascii="Times New Roman" w:hAnsi="Times New Roman"/>
          <w:b w:val="1"/>
          <w:sz w:val="24"/>
        </w:rPr>
        <w:t>1.3.5. Отопление и вентиляция</w:t>
      </w:r>
    </w:p>
    <w:p w14:paraId="8C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В здании </w:t>
      </w:r>
      <w:r>
        <w:rPr>
          <w:rFonts w:ascii="Times New Roman" w:hAnsi="Times New Roman"/>
          <w:b w:val="0"/>
          <w:sz w:val="24"/>
          <w:highlight w:val="green"/>
        </w:rPr>
        <w:t>{{facility.type_genitive}}</w:t>
      </w:r>
      <w:r>
        <w:rPr>
          <w:rFonts w:ascii="Times New Roman" w:hAnsi="Times New Roman"/>
          <w:b w:val="0"/>
          <w:sz w:val="24"/>
        </w:rPr>
        <w:t xml:space="preserve"> проектируется естественная и механическая вентиляция.</w:t>
      </w:r>
    </w:p>
    <w:p w14:paraId="8D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1"/>
          <w:sz w:val="24"/>
        </w:rPr>
        <w:t>Холодный период:</w:t>
      </w:r>
    </w:p>
    <w:p w14:paraId="8E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В помещении </w:t>
      </w:r>
      <w:r>
        <w:rPr>
          <w:rFonts w:ascii="Times New Roman" w:hAnsi="Times New Roman"/>
          <w:b w:val="0"/>
          <w:sz w:val="24"/>
          <w:highlight w:val="green"/>
        </w:rPr>
        <w:t>{{facility.type_genitive}}</w:t>
      </w:r>
      <w:r>
        <w:rPr>
          <w:rFonts w:ascii="Times New Roman" w:hAnsi="Times New Roman"/>
          <w:b w:val="0"/>
          <w:sz w:val="24"/>
        </w:rPr>
        <w:t xml:space="preserve"> в холодный период предусматривается естественная вентиляция в объеме не менее однократного воздухообмена за 1 час. Воздух в помещение </w:t>
      </w:r>
      <w:r>
        <w:rPr>
          <w:rFonts w:ascii="Times New Roman" w:hAnsi="Times New Roman"/>
          <w:b w:val="0"/>
          <w:sz w:val="24"/>
          <w:highlight w:val="green"/>
        </w:rPr>
        <w:t>{{facility.type_genitive}}</w:t>
      </w:r>
      <w:r>
        <w:rPr>
          <w:rFonts w:ascii="Times New Roman" w:hAnsi="Times New Roman"/>
          <w:b w:val="0"/>
          <w:sz w:val="24"/>
        </w:rPr>
        <w:t xml:space="preserve"> поступает через жалюзийные решетки </w:t>
      </w:r>
      <w:r>
        <w:rPr>
          <w:rFonts w:ascii="Times New Roman" w:hAnsi="Times New Roman"/>
          <w:b w:val="0"/>
          <w:sz w:val="24"/>
          <w:highlight w:val="green"/>
        </w:rPr>
        <w:t>{{ventilation.louver_size}}</w:t>
      </w:r>
      <w:r>
        <w:rPr>
          <w:rFonts w:ascii="Times New Roman" w:hAnsi="Times New Roman"/>
          <w:b w:val="0"/>
          <w:sz w:val="24"/>
        </w:rPr>
        <w:t xml:space="preserve"> (ПЕ1), установленные на высоте более 2,0 м от уровня земли в наружной стене здания. Вытяжка осуществляется через дефлектор (ВЕ1) Ду = </w:t>
      </w:r>
      <w:r>
        <w:rPr>
          <w:rFonts w:ascii="Times New Roman" w:hAnsi="Times New Roman"/>
          <w:b w:val="0"/>
          <w:sz w:val="24"/>
          <w:highlight w:val="green"/>
        </w:rPr>
        <w:t>{{ventilation.deflector_diameter_mm}}</w:t>
      </w:r>
      <w:r>
        <w:rPr>
          <w:rFonts w:ascii="Times New Roman" w:hAnsi="Times New Roman"/>
          <w:b w:val="0"/>
          <w:sz w:val="24"/>
        </w:rPr>
        <w:t xml:space="preserve"> мм – </w:t>
      </w:r>
      <w:r>
        <w:rPr>
          <w:rFonts w:ascii="Times New Roman" w:hAnsi="Times New Roman"/>
          <w:b w:val="0"/>
          <w:sz w:val="24"/>
          <w:highlight w:val="green"/>
        </w:rPr>
        <w:t>{{ventilation.deflector_count}}</w:t>
      </w:r>
      <w:r>
        <w:rPr>
          <w:rFonts w:ascii="Times New Roman" w:hAnsi="Times New Roman"/>
          <w:b w:val="0"/>
          <w:sz w:val="24"/>
        </w:rPr>
        <w:t xml:space="preserve"> шт.</w:t>
      </w:r>
    </w:p>
    <w:p w14:paraId="8F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1"/>
          <w:sz w:val="24"/>
        </w:rPr>
        <w:t>Теплый период:</w:t>
      </w:r>
    </w:p>
    <w:p w14:paraId="90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if ventilation.no_summer_operation %}</w:t>
      </w:r>
    </w:p>
    <w:p w14:paraId="91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  <w:highlight w:val="green"/>
        </w:rPr>
        <w:t>{{facility.type_nominative}}</w:t>
      </w:r>
      <w:r>
        <w:rPr>
          <w:rFonts w:ascii="Times New Roman" w:hAnsi="Times New Roman"/>
          <w:b w:val="0"/>
          <w:sz w:val="24"/>
        </w:rPr>
        <w:t xml:space="preserve"> в теплый период не работает.</w:t>
      </w:r>
    </w:p>
    <w:p w14:paraId="92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else %}</w:t>
      </w:r>
    </w:p>
    <w:p w14:paraId="93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В теплый период воздух подается через жалюзийные решетки </w:t>
      </w:r>
      <w:r>
        <w:rPr>
          <w:rFonts w:ascii="Times New Roman" w:hAnsi="Times New Roman"/>
          <w:b w:val="0"/>
          <w:sz w:val="24"/>
          <w:highlight w:val="green"/>
        </w:rPr>
        <w:t>{{ventilation.louver_size}}</w:t>
      </w:r>
      <w:r>
        <w:rPr>
          <w:rFonts w:ascii="Times New Roman" w:hAnsi="Times New Roman"/>
          <w:b w:val="0"/>
          <w:sz w:val="24"/>
        </w:rPr>
        <w:t xml:space="preserve"> (ПЕ1), установленные на высоте более 2 м от земли. Удаляется воздух дефлектором (ВЕ1) Ду = </w:t>
      </w:r>
      <w:r>
        <w:rPr>
          <w:rFonts w:ascii="Times New Roman" w:hAnsi="Times New Roman"/>
          <w:b w:val="0"/>
          <w:sz w:val="24"/>
          <w:highlight w:val="green"/>
        </w:rPr>
        <w:t>{{ventilation.deflector_diameter_mm}}</w:t>
      </w:r>
      <w:r>
        <w:rPr>
          <w:rFonts w:ascii="Times New Roman" w:hAnsi="Times New Roman"/>
          <w:b w:val="0"/>
          <w:sz w:val="24"/>
        </w:rPr>
        <w:t xml:space="preserve"> мм – </w:t>
      </w:r>
      <w:r>
        <w:rPr>
          <w:rFonts w:ascii="Times New Roman" w:hAnsi="Times New Roman"/>
          <w:b w:val="0"/>
          <w:sz w:val="24"/>
          <w:highlight w:val="green"/>
        </w:rPr>
        <w:t>{{ventilation.deflector_count}}</w:t>
      </w:r>
      <w:r>
        <w:rPr>
          <w:rFonts w:ascii="Times New Roman" w:hAnsi="Times New Roman"/>
          <w:b w:val="0"/>
          <w:sz w:val="24"/>
        </w:rPr>
        <w:t xml:space="preserve"> шт.</w:t>
      </w:r>
    </w:p>
    <w:p w14:paraId="94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p w14:paraId="95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if ventilation.has_emergency_ventilation %}</w:t>
      </w:r>
    </w:p>
    <w:p w14:paraId="96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>Проектом предусматривается аварийный осевой вытяжной вентилятор в котельном зале, включение осуществляется по сигналу «Авария» при срабатывании датчиков загазованности по СН4 и превышения предельно-допустимого содержания СО.</w:t>
      </w:r>
    </w:p>
    <w:p w14:paraId="97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p w14:paraId="98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if ventilation.has_heating %}</w:t>
      </w:r>
    </w:p>
    <w:p w14:paraId="99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b w:val="0"/>
          <w:sz w:val="24"/>
        </w:rPr>
        <w:t xml:space="preserve">В помещении котельного зала предусмотрено воздушное отопление, в качестве нагревательных приборов используются </w:t>
      </w:r>
      <w:r>
        <w:rPr>
          <w:rFonts w:ascii="Times New Roman" w:hAnsi="Times New Roman"/>
          <w:b w:val="0"/>
          <w:sz w:val="24"/>
          <w:highlight w:val="green"/>
        </w:rPr>
        <w:t>{{ventilation.heating_equipment}}</w:t>
      </w:r>
      <w:r>
        <w:rPr>
          <w:rFonts w:ascii="Times New Roman" w:hAnsi="Times New Roman"/>
          <w:b w:val="0"/>
          <w:sz w:val="24"/>
        </w:rPr>
        <w:t>.</w:t>
      </w:r>
    </w:p>
    <w:p w14:paraId="9A000000">
      <w:pPr>
        <w:widowControl w:val="1"/>
        <w:spacing w:after="120" w:before="0" w:line="276" w:lineRule="auto"/>
        <w:ind/>
        <w:jc w:val="both"/>
      </w:pPr>
      <w:r>
        <w:rPr>
          <w:rFonts w:ascii="Times New Roman" w:hAnsi="Times New Roman"/>
          <w:i w:val="1"/>
          <w:sz w:val="24"/>
        </w:rPr>
        <w:t>{%p endif %}</w:t>
      </w:r>
    </w:p>
    <w:sectPr>
      <w:pgSz w:h="15840" w:orient="portrait" w:w="12240"/>
      <w:pgMar w:bottom="1134" w:footer="720" w:gutter="0" w:header="720" w:left="1417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pStyle w:val="Style_12"/>
      <w:suff w:val="tab"/>
      <w:lvlText w:val="%1."/>
      <w:lvlJc w:val="left"/>
      <w:pPr>
        <w:widowControl w:val="1"/>
        <w:tabs>
          <w:tab w:leader="none" w:pos="1080" w:val="left"/>
        </w:tabs>
        <w:ind w:hanging="360" w:left="1080"/>
      </w:pPr>
    </w:lvl>
  </w:abstractNum>
  <w:abstractNum w:abstractNumId="1">
    <w:lvl w:ilvl="0">
      <w:start w:val="1"/>
      <w:numFmt w:val="bullet"/>
      <w:pStyle w:val="Style_20"/>
      <w:suff w:val="tab"/>
      <w:lvlText w:val=""/>
      <w:lvlJc w:val="left"/>
      <w:pPr>
        <w:widowControl w:val="1"/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abstractNum w:abstractNumId="2">
    <w:lvl w:ilvl="0">
      <w:start w:val="1"/>
      <w:numFmt w:val="bullet"/>
      <w:pStyle w:val="Style_23"/>
      <w:suff w:val="tab"/>
      <w:lvlText w:val=""/>
      <w:lvlJc w:val="left"/>
      <w:pPr>
        <w:widowControl w:val="1"/>
        <w:tabs>
          <w:tab w:leader="none" w:pos="360" w:val="left"/>
        </w:tabs>
        <w:ind w:hanging="360" w:left="360"/>
      </w:pPr>
      <w:rPr>
        <w:rFonts w:ascii="Symbol" w:hAnsi="Symbol"/>
      </w:rPr>
    </w:lvl>
  </w:abstractNum>
  <w:abstractNum w:abstractNumId="3">
    <w:lvl w:ilvl="0">
      <w:start w:val="1"/>
      <w:numFmt w:val="bullet"/>
      <w:pStyle w:val="Style_28"/>
      <w:suff w:val="tab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</w:rPr>
    </w:lvl>
  </w:abstractNum>
  <w:abstractNum w:abstractNumId="4">
    <w:lvl w:ilvl="0">
      <w:start w:val="1"/>
      <w:numFmt w:val="decimal"/>
      <w:pStyle w:val="Style_50"/>
      <w:suff w:val="tab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</w:abstractNum>
  <w:abstractNum w:abstractNumId="5">
    <w:lvl w:ilvl="0">
      <w:start w:val="1"/>
      <w:numFmt w:val="decimal"/>
      <w:pStyle w:val="Style_51"/>
      <w:suff w:val="tab"/>
      <w:lvlText w:val="%1."/>
      <w:lvlJc w:val="left"/>
      <w:pPr>
        <w:widowControl w:val="1"/>
        <w:tabs>
          <w:tab w:leader="none" w:pos="360" w:val="left"/>
        </w:tabs>
        <w:ind w:hanging="360" w:left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Body Text"/>
    <w:basedOn w:val="Style_2"/>
    <w:link w:val="Style_3_ch"/>
    <w:pPr>
      <w:widowControl w:val="1"/>
      <w:spacing w:after="120"/>
      <w:ind/>
    </w:pPr>
  </w:style>
  <w:style w:styleId="Style_3_ch" w:type="character">
    <w:name w:val="Body Text"/>
    <w:basedOn w:val="Style_2_ch"/>
    <w:link w:val="Style_3"/>
  </w:style>
  <w:style w:styleId="Style_4" w:type="paragraph">
    <w:name w:val="toc 2"/>
    <w:next w:val="Style_2"/>
    <w:link w:val="Style_4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Subtle Emphasis"/>
    <w:basedOn w:val="Style_6"/>
    <w:link w:val="Style_5_ch"/>
    <w:rPr>
      <w:i w:val="1"/>
      <w:color w:themeColor="text1" w:themeTint="7F" w:val="808080"/>
    </w:rPr>
  </w:style>
  <w:style w:styleId="Style_5_ch" w:type="character">
    <w:name w:val="Subtle Emphasis"/>
    <w:basedOn w:val="Style_6_ch"/>
    <w:link w:val="Style_5"/>
    <w:rPr>
      <w:i w:val="1"/>
      <w:color w:themeColor="text1" w:themeTint="7F" w:val="808080"/>
    </w:rPr>
  </w:style>
  <w:style w:styleId="Style_7" w:type="paragraph">
    <w:name w:val="toc 4"/>
    <w:next w:val="Style_2"/>
    <w:link w:val="Style_7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Strong"/>
    <w:basedOn w:val="Style_6"/>
    <w:link w:val="Style_8_ch"/>
    <w:rPr>
      <w:b w:val="1"/>
    </w:rPr>
  </w:style>
  <w:style w:styleId="Style_8_ch" w:type="character">
    <w:name w:val="Strong"/>
    <w:basedOn w:val="Style_6_ch"/>
    <w:link w:val="Style_8"/>
    <w:rPr>
      <w:b w:val="1"/>
    </w:rPr>
  </w:style>
  <w:style w:styleId="Style_9" w:type="paragraph">
    <w:name w:val="heading 7"/>
    <w:basedOn w:val="Style_2"/>
    <w:next w:val="Style_2"/>
    <w:link w:val="Style_9_ch"/>
    <w:uiPriority w:val="9"/>
    <w:qFormat/>
    <w:pPr>
      <w:keepNext w:val="1"/>
      <w:keepLines w:val="1"/>
      <w:widowControl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9_ch" w:type="character">
    <w:name w:val="heading 7"/>
    <w:basedOn w:val="Style_2_ch"/>
    <w:link w:val="Style_9"/>
    <w:rPr>
      <w:rFonts w:asciiTheme="majorAscii" w:hAnsiTheme="majorHAnsi"/>
      <w:i w:val="1"/>
      <w:color w:themeColor="text1" w:themeTint="BF" w:val="404040"/>
    </w:rPr>
  </w:style>
  <w:style w:styleId="Style_10" w:type="paragraph">
    <w:name w:val="toc 6"/>
    <w:next w:val="Style_2"/>
    <w:link w:val="Style_10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2"/>
    <w:link w:val="Style_11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List Number 3"/>
    <w:basedOn w:val="Style_2"/>
    <w:link w:val="Style_12_ch"/>
    <w:pPr>
      <w:widowControl w:val="1"/>
      <w:numPr>
        <w:numId w:val="1"/>
      </w:numPr>
      <w:ind/>
      <w:contextualSpacing w:val="1"/>
    </w:pPr>
  </w:style>
  <w:style w:styleId="Style_12_ch" w:type="character">
    <w:name w:val="List Number 3"/>
    <w:basedOn w:val="Style_2_ch"/>
    <w:link w:val="Style_12"/>
  </w:style>
  <w:style w:styleId="Style_13" w:type="paragraph">
    <w:name w:val="List Paragraph"/>
    <w:basedOn w:val="Style_2"/>
    <w:link w:val="Style_13_ch"/>
    <w:pPr>
      <w:widowControl w:val="1"/>
      <w:ind w:left="720"/>
      <w:contextualSpacing w:val="1"/>
    </w:pPr>
  </w:style>
  <w:style w:styleId="Style_13_ch" w:type="character">
    <w:name w:val="List Paragraph"/>
    <w:basedOn w:val="Style_2_ch"/>
    <w:link w:val="Style_13"/>
  </w:style>
  <w:style w:styleId="Style_14" w:type="paragraph">
    <w:name w:val="Endnote"/>
    <w:link w:val="Style_14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Endnote"/>
    <w:link w:val="Style_14"/>
    <w:rPr>
      <w:rFonts w:ascii="XO Thames" w:hAnsi="XO Thames"/>
      <w:sz w:val="22"/>
    </w:rPr>
  </w:style>
  <w:style w:styleId="Style_15" w:type="paragraph">
    <w:name w:val="heading 3"/>
    <w:basedOn w:val="Style_2"/>
    <w:next w:val="Style_2"/>
    <w:link w:val="Style_15_ch"/>
    <w:uiPriority w:val="9"/>
    <w:qFormat/>
    <w:pPr>
      <w:keepNext w:val="1"/>
      <w:keepLines w:val="1"/>
      <w:widowControl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15_ch" w:type="character">
    <w:name w:val="heading 3"/>
    <w:basedOn w:val="Style_2_ch"/>
    <w:link w:val="Style_15"/>
    <w:rPr>
      <w:rFonts w:asciiTheme="majorAscii" w:hAnsiTheme="majorHAnsi"/>
      <w:b w:val="1"/>
      <w:color w:themeColor="accent1" w:val="4F81BD"/>
    </w:rPr>
  </w:style>
  <w:style w:styleId="Style_16" w:type="paragraph">
    <w:name w:val="Subtle Reference"/>
    <w:basedOn w:val="Style_6"/>
    <w:link w:val="Style_16_ch"/>
    <w:rPr>
      <w:smallCaps w:val="1"/>
      <w:color w:themeColor="accent2" w:val="C0504D"/>
      <w:u w:val="single"/>
    </w:rPr>
  </w:style>
  <w:style w:styleId="Style_16_ch" w:type="character">
    <w:name w:val="Subtle Reference"/>
    <w:basedOn w:val="Style_6_ch"/>
    <w:link w:val="Style_16"/>
    <w:rPr>
      <w:smallCaps w:val="1"/>
      <w:color w:themeColor="accent2" w:val="C0504D"/>
      <w:u w:val="single"/>
    </w:rPr>
  </w:style>
  <w:style w:styleId="Style_17" w:type="paragraph">
    <w:name w:val="List Continue 3"/>
    <w:basedOn w:val="Style_2"/>
    <w:link w:val="Style_17_ch"/>
    <w:pPr>
      <w:widowControl w:val="1"/>
      <w:spacing w:after="120"/>
      <w:ind w:left="1080"/>
      <w:contextualSpacing w:val="1"/>
    </w:pPr>
  </w:style>
  <w:style w:styleId="Style_17_ch" w:type="character">
    <w:name w:val="List Continue 3"/>
    <w:basedOn w:val="Style_2_ch"/>
    <w:link w:val="Style_17"/>
  </w:style>
  <w:style w:styleId="Style_18" w:type="paragraph">
    <w:name w:val="footer"/>
    <w:basedOn w:val="Style_2"/>
    <w:link w:val="Style_18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18_ch" w:type="character">
    <w:name w:val="footer"/>
    <w:basedOn w:val="Style_2_ch"/>
    <w:link w:val="Style_18"/>
  </w:style>
  <w:style w:styleId="Style_19" w:type="paragraph">
    <w:name w:val="Quote"/>
    <w:basedOn w:val="Style_2"/>
    <w:next w:val="Style_2"/>
    <w:link w:val="Style_19_ch"/>
    <w:rPr>
      <w:i w:val="1"/>
      <w:color w:themeColor="text1" w:val="000000"/>
    </w:rPr>
  </w:style>
  <w:style w:styleId="Style_19_ch" w:type="character">
    <w:name w:val="Quote"/>
    <w:basedOn w:val="Style_2_ch"/>
    <w:link w:val="Style_19"/>
    <w:rPr>
      <w:i w:val="1"/>
      <w:color w:themeColor="text1" w:val="000000"/>
    </w:rPr>
  </w:style>
  <w:style w:styleId="Style_20" w:type="paragraph">
    <w:name w:val="List Bullet 3"/>
    <w:basedOn w:val="Style_2"/>
    <w:link w:val="Style_20_ch"/>
    <w:pPr>
      <w:widowControl w:val="1"/>
      <w:numPr>
        <w:numId w:val="2"/>
      </w:numPr>
      <w:ind/>
      <w:contextualSpacing w:val="1"/>
    </w:pPr>
  </w:style>
  <w:style w:styleId="Style_20_ch" w:type="character">
    <w:name w:val="List Bullet 3"/>
    <w:basedOn w:val="Style_2_ch"/>
    <w:link w:val="Style_20"/>
  </w:style>
  <w:style w:styleId="Style_21" w:type="paragraph">
    <w:name w:val="heading 9"/>
    <w:basedOn w:val="Style_2"/>
    <w:next w:val="Style_2"/>
    <w:link w:val="Style_21_ch"/>
    <w:uiPriority w:val="9"/>
    <w:qFormat/>
    <w:pPr>
      <w:keepNext w:val="1"/>
      <w:keepLines w:val="1"/>
      <w:widowControl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21_ch" w:type="character">
    <w:name w:val="heading 9"/>
    <w:basedOn w:val="Style_2_ch"/>
    <w:link w:val="Style_21"/>
    <w:rPr>
      <w:rFonts w:asciiTheme="majorAscii" w:hAnsiTheme="majorHAnsi"/>
      <w:i w:val="1"/>
      <w:color w:themeColor="text1" w:themeTint="BF" w:val="404040"/>
      <w:sz w:val="20"/>
    </w:rPr>
  </w:style>
  <w:style w:styleId="Style_22" w:type="paragraph">
    <w:name w:val="List"/>
    <w:basedOn w:val="Style_2"/>
    <w:link w:val="Style_22_ch"/>
    <w:pPr>
      <w:widowControl w:val="1"/>
      <w:ind w:hanging="360" w:left="360"/>
      <w:contextualSpacing w:val="1"/>
    </w:pPr>
  </w:style>
  <w:style w:styleId="Style_22_ch" w:type="character">
    <w:name w:val="List"/>
    <w:basedOn w:val="Style_2_ch"/>
    <w:link w:val="Style_22"/>
  </w:style>
  <w:style w:styleId="Style_23" w:type="paragraph">
    <w:name w:val="List Bullet"/>
    <w:basedOn w:val="Style_2"/>
    <w:link w:val="Style_23_ch"/>
    <w:pPr>
      <w:widowControl w:val="1"/>
      <w:numPr>
        <w:numId w:val="3"/>
      </w:numPr>
      <w:ind/>
      <w:contextualSpacing w:val="1"/>
    </w:pPr>
  </w:style>
  <w:style w:styleId="Style_23_ch" w:type="character">
    <w:name w:val="List Bullet"/>
    <w:basedOn w:val="Style_2_ch"/>
    <w:link w:val="Style_23"/>
  </w:style>
  <w:style w:styleId="Style_24" w:type="paragraph">
    <w:name w:val="Intense Reference"/>
    <w:basedOn w:val="Style_6"/>
    <w:link w:val="Style_24_ch"/>
    <w:rPr>
      <w:b w:val="1"/>
      <w:smallCaps w:val="1"/>
      <w:color w:themeColor="accent2" w:val="C0504D"/>
      <w:spacing w:val="5"/>
      <w:u w:val="single"/>
    </w:rPr>
  </w:style>
  <w:style w:styleId="Style_24_ch" w:type="character">
    <w:name w:val="Intense Reference"/>
    <w:basedOn w:val="Style_6_ch"/>
    <w:link w:val="Style_24"/>
    <w:rPr>
      <w:b w:val="1"/>
      <w:smallCaps w:val="1"/>
      <w:color w:themeColor="accent2" w:val="C0504D"/>
      <w:spacing w:val="5"/>
      <w:u w:val="single"/>
    </w:rPr>
  </w:style>
  <w:style w:styleId="Style_25" w:type="paragraph">
    <w:name w:val="Body Text 3"/>
    <w:basedOn w:val="Style_2"/>
    <w:link w:val="Style_25_ch"/>
    <w:pPr>
      <w:widowControl w:val="1"/>
      <w:spacing w:after="120"/>
      <w:ind/>
    </w:pPr>
    <w:rPr>
      <w:sz w:val="16"/>
    </w:rPr>
  </w:style>
  <w:style w:styleId="Style_25_ch" w:type="character">
    <w:name w:val="Body Text 3"/>
    <w:basedOn w:val="Style_2_ch"/>
    <w:link w:val="Style_25"/>
    <w:rPr>
      <w:sz w:val="16"/>
    </w:rPr>
  </w:style>
  <w:style w:styleId="Style_26" w:type="paragraph">
    <w:name w:val="No Spacing"/>
    <w:link w:val="Style_26_ch"/>
    <w:pPr>
      <w:widowControl w:val="1"/>
      <w:spacing w:after="0" w:line="240" w:lineRule="auto"/>
      <w:ind/>
    </w:pPr>
  </w:style>
  <w:style w:styleId="Style_26_ch" w:type="character">
    <w:name w:val="No Spacing"/>
    <w:link w:val="Style_26"/>
  </w:style>
  <w:style w:styleId="Style_27" w:type="paragraph">
    <w:name w:val="Intense Quote"/>
    <w:basedOn w:val="Style_2"/>
    <w:next w:val="Style_2"/>
    <w:link w:val="Style_27_ch"/>
    <w:pPr>
      <w:widowControl w:val="1"/>
      <w:pBdr>
        <w:bottom w:space="4" w:sz="4" w:themeColor="accent1" w:val="single"/>
      </w:pBdr>
      <w:spacing w:after="280" w:before="200"/>
      <w:ind w:left="936" w:right="936"/>
    </w:pPr>
    <w:rPr>
      <w:b w:val="1"/>
      <w:i w:val="1"/>
      <w:color w:themeColor="accent1" w:val="4F81BD"/>
    </w:rPr>
  </w:style>
  <w:style w:styleId="Style_27_ch" w:type="character">
    <w:name w:val="Intense Quote"/>
    <w:basedOn w:val="Style_2_ch"/>
    <w:link w:val="Style_27"/>
    <w:rPr>
      <w:b w:val="1"/>
      <w:i w:val="1"/>
      <w:color w:themeColor="accent1" w:val="4F81BD"/>
    </w:rPr>
  </w:style>
  <w:style w:styleId="Style_28" w:type="paragraph">
    <w:name w:val="List Bullet 2"/>
    <w:basedOn w:val="Style_2"/>
    <w:link w:val="Style_28_ch"/>
    <w:pPr>
      <w:widowControl w:val="1"/>
      <w:numPr>
        <w:numId w:val="4"/>
      </w:numPr>
      <w:ind/>
      <w:contextualSpacing w:val="1"/>
    </w:pPr>
  </w:style>
  <w:style w:styleId="Style_28_ch" w:type="character">
    <w:name w:val="List Bullet 2"/>
    <w:basedOn w:val="Style_2_ch"/>
    <w:link w:val="Style_28"/>
  </w:style>
  <w:style w:styleId="Style_29" w:type="paragraph">
    <w:name w:val="toc 3"/>
    <w:next w:val="Style_2"/>
    <w:link w:val="Style_29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29_ch" w:type="character">
    <w:name w:val="toc 3"/>
    <w:link w:val="Style_29"/>
    <w:rPr>
      <w:rFonts w:ascii="XO Thames" w:hAnsi="XO Thames"/>
      <w:sz w:val="28"/>
    </w:rPr>
  </w:style>
  <w:style w:styleId="Style_30" w:type="paragraph">
    <w:name w:val="macro"/>
    <w:link w:val="Style_30_ch"/>
    <w:pPr>
      <w:widowControl w:val="1"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30_ch" w:type="character">
    <w:name w:val="macro"/>
    <w:link w:val="Style_30"/>
    <w:rPr>
      <w:rFonts w:ascii="Courier" w:hAnsi="Courier"/>
      <w:sz w:val="20"/>
    </w:rPr>
  </w:style>
  <w:style w:styleId="Style_31" w:type="paragraph">
    <w:name w:val="Body Text 2"/>
    <w:basedOn w:val="Style_2"/>
    <w:link w:val="Style_31_ch"/>
    <w:pPr>
      <w:widowControl w:val="1"/>
      <w:spacing w:after="120" w:line="480" w:lineRule="auto"/>
      <w:ind/>
    </w:pPr>
  </w:style>
  <w:style w:styleId="Style_31_ch" w:type="character">
    <w:name w:val="Body Text 2"/>
    <w:basedOn w:val="Style_2_ch"/>
    <w:link w:val="Style_31"/>
  </w:style>
  <w:style w:styleId="Style_32" w:type="paragraph">
    <w:name w:val="caption"/>
    <w:basedOn w:val="Style_2"/>
    <w:next w:val="Style_2"/>
    <w:link w:val="Style_32_ch"/>
    <w:pPr>
      <w:widowControl w:val="1"/>
      <w:spacing w:line="240" w:lineRule="auto"/>
      <w:ind/>
    </w:pPr>
    <w:rPr>
      <w:b w:val="1"/>
      <w:color w:themeColor="accent1" w:val="4F81BD"/>
      <w:sz w:val="18"/>
    </w:rPr>
  </w:style>
  <w:style w:styleId="Style_32_ch" w:type="character">
    <w:name w:val="caption"/>
    <w:basedOn w:val="Style_2_ch"/>
    <w:link w:val="Style_32"/>
    <w:rPr>
      <w:b w:val="1"/>
      <w:color w:themeColor="accent1" w:val="4F81BD"/>
      <w:sz w:val="18"/>
    </w:rPr>
  </w:style>
  <w:style w:styleId="Style_33" w:type="paragraph">
    <w:name w:val="List 3"/>
    <w:basedOn w:val="Style_2"/>
    <w:link w:val="Style_33_ch"/>
    <w:pPr>
      <w:widowControl w:val="1"/>
      <w:ind w:hanging="360" w:left="1080"/>
      <w:contextualSpacing w:val="1"/>
    </w:pPr>
  </w:style>
  <w:style w:styleId="Style_33_ch" w:type="character">
    <w:name w:val="List 3"/>
    <w:basedOn w:val="Style_2_ch"/>
    <w:link w:val="Style_33"/>
  </w:style>
  <w:style w:styleId="Style_34" w:type="paragraph">
    <w:name w:val="heading 5"/>
    <w:basedOn w:val="Style_2"/>
    <w:next w:val="Style_2"/>
    <w:link w:val="Style_34_ch"/>
    <w:uiPriority w:val="9"/>
    <w:qFormat/>
    <w:pPr>
      <w:keepNext w:val="1"/>
      <w:keepLines w:val="1"/>
      <w:widowControl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34_ch" w:type="character">
    <w:name w:val="heading 5"/>
    <w:basedOn w:val="Style_2_ch"/>
    <w:link w:val="Style_34"/>
    <w:rPr>
      <w:rFonts w:asciiTheme="majorAscii" w:hAnsiTheme="majorHAnsi"/>
      <w:color w:themeColor="accent1" w:themeShade="7F" w:val="244061"/>
    </w:rPr>
  </w:style>
  <w:style w:styleId="Style_35" w:type="paragraph">
    <w:name w:val="Intense Emphasis"/>
    <w:basedOn w:val="Style_6"/>
    <w:link w:val="Style_35_ch"/>
    <w:rPr>
      <w:b w:val="1"/>
      <w:i w:val="1"/>
      <w:color w:themeColor="accent1" w:val="4F81BD"/>
    </w:rPr>
  </w:style>
  <w:style w:styleId="Style_35_ch" w:type="character">
    <w:name w:val="Intense Emphasis"/>
    <w:basedOn w:val="Style_6_ch"/>
    <w:link w:val="Style_35"/>
    <w:rPr>
      <w:b w:val="1"/>
      <w:i w:val="1"/>
      <w:color w:themeColor="accent1" w:val="4F81BD"/>
    </w:rPr>
  </w:style>
  <w:style w:styleId="Style_6" w:type="paragraph">
    <w:name w:val="Default Paragraph Font"/>
    <w:link w:val="Style_6_ch"/>
  </w:style>
  <w:style w:styleId="Style_6_ch" w:type="character">
    <w:name w:val="Default Paragraph Font"/>
    <w:link w:val="Style_6"/>
  </w:style>
  <w:style w:styleId="Style_36" w:type="paragraph">
    <w:name w:val="heading 1"/>
    <w:basedOn w:val="Style_2"/>
    <w:next w:val="Style_2"/>
    <w:link w:val="Style_36_ch"/>
    <w:uiPriority w:val="9"/>
    <w:qFormat/>
    <w:pPr>
      <w:keepNext w:val="1"/>
      <w:keepLines w:val="1"/>
      <w:widowControl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36_ch" w:type="character">
    <w:name w:val="heading 1"/>
    <w:basedOn w:val="Style_2_ch"/>
    <w:link w:val="Style_36"/>
    <w:rPr>
      <w:rFonts w:asciiTheme="majorAscii" w:hAnsiTheme="majorHAnsi"/>
      <w:b w:val="1"/>
      <w:color w:themeColor="accent1" w:themeShade="BF" w:val="376092"/>
      <w:sz w:val="28"/>
    </w:rPr>
  </w:style>
  <w:style w:styleId="Style_37" w:type="paragraph">
    <w:name w:val="Book Title"/>
    <w:basedOn w:val="Style_6"/>
    <w:link w:val="Style_37_ch"/>
    <w:rPr>
      <w:b w:val="1"/>
      <w:smallCaps w:val="1"/>
      <w:spacing w:val="5"/>
    </w:rPr>
  </w:style>
  <w:style w:styleId="Style_37_ch" w:type="character">
    <w:name w:val="Book Title"/>
    <w:basedOn w:val="Style_6_ch"/>
    <w:link w:val="Style_37"/>
    <w:rPr>
      <w:b w:val="1"/>
      <w:smallCaps w:val="1"/>
      <w:spacing w:val="5"/>
    </w:rPr>
  </w:style>
  <w:style w:styleId="Style_38" w:type="paragraph">
    <w:name w:val="Hyperlink"/>
    <w:link w:val="Style_38_ch"/>
    <w:rPr>
      <w:color w:val="0000FF"/>
      <w:u w:val="single"/>
    </w:rPr>
  </w:style>
  <w:style w:styleId="Style_38_ch" w:type="character">
    <w:name w:val="Hyperlink"/>
    <w:link w:val="Style_38"/>
    <w:rPr>
      <w:color w:val="0000FF"/>
      <w:u w:val="single"/>
    </w:rPr>
  </w:style>
  <w:style w:styleId="Style_39" w:type="paragraph">
    <w:name w:val="Footnote"/>
    <w:link w:val="Style_39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39_ch" w:type="character">
    <w:name w:val="Footnote"/>
    <w:link w:val="Style_39"/>
    <w:rPr>
      <w:rFonts w:ascii="XO Thames" w:hAnsi="XO Thames"/>
      <w:sz w:val="22"/>
    </w:rPr>
  </w:style>
  <w:style w:styleId="Style_40" w:type="paragraph">
    <w:name w:val="heading 8"/>
    <w:basedOn w:val="Style_2"/>
    <w:next w:val="Style_2"/>
    <w:link w:val="Style_40_ch"/>
    <w:uiPriority w:val="9"/>
    <w:qFormat/>
    <w:pPr>
      <w:keepNext w:val="1"/>
      <w:keepLines w:val="1"/>
      <w:widowControl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40_ch" w:type="character">
    <w:name w:val="heading 8"/>
    <w:basedOn w:val="Style_2_ch"/>
    <w:link w:val="Style_40"/>
    <w:rPr>
      <w:rFonts w:asciiTheme="majorAscii" w:hAnsiTheme="majorHAnsi"/>
      <w:color w:themeColor="accent1" w:val="4F81BD"/>
      <w:sz w:val="20"/>
    </w:rPr>
  </w:style>
  <w:style w:styleId="Style_41" w:type="paragraph">
    <w:name w:val="List Continue 2"/>
    <w:basedOn w:val="Style_2"/>
    <w:link w:val="Style_41_ch"/>
    <w:pPr>
      <w:widowControl w:val="1"/>
      <w:spacing w:after="120"/>
      <w:ind w:left="720"/>
      <w:contextualSpacing w:val="1"/>
    </w:pPr>
  </w:style>
  <w:style w:styleId="Style_41_ch" w:type="character">
    <w:name w:val="List Continue 2"/>
    <w:basedOn w:val="Style_2_ch"/>
    <w:link w:val="Style_41"/>
  </w:style>
  <w:style w:styleId="Style_42" w:type="paragraph">
    <w:name w:val="toc 1"/>
    <w:next w:val="Style_2"/>
    <w:link w:val="Style_42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42_ch" w:type="character">
    <w:name w:val="toc 1"/>
    <w:link w:val="Style_42"/>
    <w:rPr>
      <w:rFonts w:ascii="XO Thames" w:hAnsi="XO Thames"/>
      <w:b w:val="1"/>
      <w:sz w:val="28"/>
    </w:rPr>
  </w:style>
  <w:style w:styleId="Style_43" w:type="paragraph">
    <w:name w:val="Header and Footer"/>
    <w:link w:val="Style_43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43_ch" w:type="character">
    <w:name w:val="Header and Footer"/>
    <w:link w:val="Style_43"/>
    <w:rPr>
      <w:rFonts w:ascii="XO Thames" w:hAnsi="XO Thames"/>
      <w:sz w:val="28"/>
    </w:rPr>
  </w:style>
  <w:style w:styleId="Style_44" w:type="paragraph">
    <w:name w:val="toc 9"/>
    <w:next w:val="Style_2"/>
    <w:link w:val="Style_44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44_ch" w:type="character">
    <w:name w:val="toc 9"/>
    <w:link w:val="Style_44"/>
    <w:rPr>
      <w:rFonts w:ascii="XO Thames" w:hAnsi="XO Thames"/>
      <w:sz w:val="28"/>
    </w:rPr>
  </w:style>
  <w:style w:styleId="Style_45" w:type="paragraph">
    <w:name w:val="List Continue"/>
    <w:basedOn w:val="Style_2"/>
    <w:link w:val="Style_45_ch"/>
    <w:pPr>
      <w:widowControl w:val="1"/>
      <w:spacing w:after="120"/>
      <w:ind w:left="360"/>
      <w:contextualSpacing w:val="1"/>
    </w:pPr>
  </w:style>
  <w:style w:styleId="Style_45_ch" w:type="character">
    <w:name w:val="List Continue"/>
    <w:basedOn w:val="Style_2_ch"/>
    <w:link w:val="Style_45"/>
  </w:style>
  <w:style w:styleId="Style_46" w:type="paragraph">
    <w:name w:val="TOC Heading"/>
    <w:basedOn w:val="Style_36"/>
    <w:next w:val="Style_2"/>
    <w:link w:val="Style_46_ch"/>
    <w:pPr>
      <w:widowControl w:val="1"/>
      <w:ind/>
      <w:outlineLvl w:val="8"/>
    </w:pPr>
  </w:style>
  <w:style w:styleId="Style_46_ch" w:type="character">
    <w:name w:val="TOC Heading"/>
    <w:basedOn w:val="Style_36_ch"/>
    <w:link w:val="Style_46"/>
  </w:style>
  <w:style w:styleId="Style_47" w:type="paragraph">
    <w:name w:val="toc 8"/>
    <w:next w:val="Style_2"/>
    <w:link w:val="Style_47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47_ch" w:type="character">
    <w:name w:val="toc 8"/>
    <w:link w:val="Style_47"/>
    <w:rPr>
      <w:rFonts w:ascii="XO Thames" w:hAnsi="XO Thames"/>
      <w:sz w:val="28"/>
    </w:rPr>
  </w:style>
  <w:style w:styleId="Style_48" w:type="paragraph">
    <w:name w:val="List 2"/>
    <w:basedOn w:val="Style_2"/>
    <w:link w:val="Style_48_ch"/>
    <w:pPr>
      <w:widowControl w:val="1"/>
      <w:ind w:hanging="360" w:left="720"/>
      <w:contextualSpacing w:val="1"/>
    </w:pPr>
  </w:style>
  <w:style w:styleId="Style_48_ch" w:type="character">
    <w:name w:val="List 2"/>
    <w:basedOn w:val="Style_2_ch"/>
    <w:link w:val="Style_48"/>
  </w:style>
  <w:style w:styleId="Style_49" w:type="paragraph">
    <w:name w:val="toc 5"/>
    <w:next w:val="Style_2"/>
    <w:link w:val="Style_49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49_ch" w:type="character">
    <w:name w:val="toc 5"/>
    <w:link w:val="Style_49"/>
    <w:rPr>
      <w:rFonts w:ascii="XO Thames" w:hAnsi="XO Thames"/>
      <w:sz w:val="28"/>
    </w:rPr>
  </w:style>
  <w:style w:styleId="Style_50" w:type="paragraph">
    <w:name w:val="List Number 2"/>
    <w:basedOn w:val="Style_2"/>
    <w:link w:val="Style_50_ch"/>
    <w:pPr>
      <w:widowControl w:val="1"/>
      <w:numPr>
        <w:numId w:val="5"/>
      </w:numPr>
      <w:ind/>
      <w:contextualSpacing w:val="1"/>
    </w:pPr>
  </w:style>
  <w:style w:styleId="Style_50_ch" w:type="character">
    <w:name w:val="List Number 2"/>
    <w:basedOn w:val="Style_2_ch"/>
    <w:link w:val="Style_50"/>
  </w:style>
  <w:style w:styleId="Style_51" w:type="paragraph">
    <w:name w:val="List Number"/>
    <w:basedOn w:val="Style_2"/>
    <w:link w:val="Style_51_ch"/>
    <w:pPr>
      <w:widowControl w:val="1"/>
      <w:numPr>
        <w:numId w:val="6"/>
      </w:numPr>
      <w:ind/>
      <w:contextualSpacing w:val="1"/>
    </w:pPr>
  </w:style>
  <w:style w:styleId="Style_51_ch" w:type="character">
    <w:name w:val="List Number"/>
    <w:basedOn w:val="Style_2_ch"/>
    <w:link w:val="Style_51"/>
  </w:style>
  <w:style w:styleId="Style_52" w:type="paragraph">
    <w:name w:val="Subtitle"/>
    <w:basedOn w:val="Style_2"/>
    <w:next w:val="Style_2"/>
    <w:link w:val="Style_52_ch"/>
    <w:uiPriority w:val="11"/>
    <w:qFormat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52_ch" w:type="character">
    <w:name w:val="Subtitle"/>
    <w:basedOn w:val="Style_2_ch"/>
    <w:link w:val="Style_52"/>
    <w:rPr>
      <w:rFonts w:asciiTheme="majorAscii" w:hAnsiTheme="majorHAnsi"/>
      <w:i w:val="1"/>
      <w:color w:themeColor="accent1" w:val="4F81BD"/>
      <w:spacing w:val="15"/>
      <w:sz w:val="24"/>
    </w:rPr>
  </w:style>
  <w:style w:styleId="Style_53" w:type="paragraph">
    <w:name w:val="header"/>
    <w:basedOn w:val="Style_2"/>
    <w:link w:val="Style_53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53_ch" w:type="character">
    <w:name w:val="header"/>
    <w:basedOn w:val="Style_2_ch"/>
    <w:link w:val="Style_53"/>
  </w:style>
  <w:style w:styleId="Style_54" w:type="paragraph">
    <w:name w:val="Title"/>
    <w:basedOn w:val="Style_2"/>
    <w:next w:val="Style_2"/>
    <w:link w:val="Style_54_ch"/>
    <w:uiPriority w:val="10"/>
    <w:qFormat/>
    <w:pPr>
      <w:widowControl w:val="1"/>
      <w:pBdr>
        <w:bottom w:space="4" w:sz="8" w:themeColor="accent1" w:val="single"/>
      </w:pBd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54_ch" w:type="character">
    <w:name w:val="Title"/>
    <w:basedOn w:val="Style_2_ch"/>
    <w:link w:val="Style_54"/>
    <w:rPr>
      <w:rFonts w:asciiTheme="majorAscii" w:hAnsiTheme="majorHAnsi"/>
      <w:color w:themeColor="text2" w:themeShade="BF" w:val="17375E"/>
      <w:spacing w:val="5"/>
      <w:sz w:val="52"/>
    </w:rPr>
  </w:style>
  <w:style w:styleId="Style_55" w:type="paragraph">
    <w:name w:val="heading 4"/>
    <w:basedOn w:val="Style_2"/>
    <w:next w:val="Style_2"/>
    <w:link w:val="Style_55_ch"/>
    <w:uiPriority w:val="9"/>
    <w:qFormat/>
    <w:pPr>
      <w:keepNext w:val="1"/>
      <w:keepLines w:val="1"/>
      <w:widowControl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55_ch" w:type="character">
    <w:name w:val="heading 4"/>
    <w:basedOn w:val="Style_2_ch"/>
    <w:link w:val="Style_55"/>
    <w:rPr>
      <w:rFonts w:asciiTheme="majorAscii" w:hAnsiTheme="majorHAnsi"/>
      <w:b w:val="1"/>
      <w:i w:val="1"/>
      <w:color w:themeColor="accent1" w:val="4F81BD"/>
    </w:rPr>
  </w:style>
  <w:style w:styleId="Style_56" w:type="paragraph">
    <w:name w:val="heading 2"/>
    <w:basedOn w:val="Style_2"/>
    <w:next w:val="Style_2"/>
    <w:link w:val="Style_56_ch"/>
    <w:uiPriority w:val="9"/>
    <w:qFormat/>
    <w:pPr>
      <w:keepNext w:val="1"/>
      <w:keepLines w:val="1"/>
      <w:widowControl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56_ch" w:type="character">
    <w:name w:val="heading 2"/>
    <w:basedOn w:val="Style_2_ch"/>
    <w:link w:val="Style_56"/>
    <w:rPr>
      <w:rFonts w:asciiTheme="majorAscii" w:hAnsiTheme="majorHAnsi"/>
      <w:b w:val="1"/>
      <w:color w:themeColor="accent1" w:val="4F81BD"/>
      <w:sz w:val="26"/>
    </w:rPr>
  </w:style>
  <w:style w:styleId="Style_57" w:type="paragraph">
    <w:name w:val="Emphasis"/>
    <w:basedOn w:val="Style_6"/>
    <w:link w:val="Style_57_ch"/>
    <w:rPr>
      <w:i w:val="1"/>
    </w:rPr>
  </w:style>
  <w:style w:styleId="Style_57_ch" w:type="character">
    <w:name w:val="Emphasis"/>
    <w:basedOn w:val="Style_6_ch"/>
    <w:link w:val="Style_57"/>
    <w:rPr>
      <w:i w:val="1"/>
    </w:rPr>
  </w:style>
  <w:style w:styleId="Style_58" w:type="paragraph">
    <w:name w:val="heading 6"/>
    <w:basedOn w:val="Style_2"/>
    <w:next w:val="Style_2"/>
    <w:link w:val="Style_58_ch"/>
    <w:uiPriority w:val="9"/>
    <w:qFormat/>
    <w:pPr>
      <w:keepNext w:val="1"/>
      <w:keepLines w:val="1"/>
      <w:widowControl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58_ch" w:type="character">
    <w:name w:val="heading 6"/>
    <w:basedOn w:val="Style_2_ch"/>
    <w:link w:val="Style_58"/>
    <w:rPr>
      <w:rFonts w:asciiTheme="majorAscii" w:hAnsiTheme="majorHAnsi"/>
      <w:i w:val="1"/>
      <w:color w:themeColor="accent1" w:themeShade="7F" w:val="244061"/>
    </w:rPr>
  </w:style>
  <w:style w:styleId="Style_59" w:type="table">
    <w:name w:val="Colorful Grid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Medium Grid 3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Medium List 1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Light Grid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Light List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Medium Lis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Colorful List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Shading 1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Light Shading Accent 1"/>
    <w:basedOn w:val="Style_60"/>
    <w:pPr>
      <w:widowControl w:val="1"/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Medium Grid 2 Accent 1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Colorful Grid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Light Grid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Colorful Shading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Light Shading Accent 3"/>
    <w:basedOn w:val="Style_60"/>
    <w:pPr>
      <w:widowControl w:val="1"/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Medium Shading 2 Accent 6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60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Medium Shading 2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Medium List 2 Accent 6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Dark List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Medium Grid 3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Medium List 2 Accent 1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Colorful Grid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Medium List 1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Colorful List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Medium Grid 3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Medium Grid 3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Medium List 2 Accent 4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Medium Grid 2 Accent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Medium Shading 1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Medium Grid 3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Medium Shading 2 Accent 5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Colorful Shading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Medium Shading 2 Accent 1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Medium Grid 1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Colorful List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Shading 1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Dark List Accent 4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Colorful Grid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Dark List Accent 1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Medium Grid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Dark List Accent 6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Colorful Shading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Dark List Accent 2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Medium Shading 2 Accent 4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Light List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Colorful Grid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Light List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Medium Grid 1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Light Shading Accent 5"/>
    <w:basedOn w:val="Style_60"/>
    <w:pPr>
      <w:widowControl w:val="1"/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Light Grid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Medium Shading 2 Accent 3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Medium List 1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Medium Grid 3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Colorful List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Light Shading"/>
    <w:basedOn w:val="Style_60"/>
    <w:pPr>
      <w:widowControl w:val="1"/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Grid 2 Accent 4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Colorful Shading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Grid 1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Shading 1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Medium Grid 2 Accent 5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Light Grid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Medium List 2 Accent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Light Grid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name w:val="Table Grid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Colorful List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Grid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Medium Grid 2 Accent 3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Medium Grid 2 Accent 6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Medium List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Light List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Colorful Shading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List 1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Medium Grid 1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Dark List Accent 5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Light Shading Accent 6"/>
    <w:basedOn w:val="Style_60"/>
    <w:pPr>
      <w:widowControl w:val="1"/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Medium Shading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Light List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Medium Shading 2 Accent 2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Medium List 1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Light Shading Accent 2"/>
    <w:basedOn w:val="Style_60"/>
    <w:pPr>
      <w:widowControl w:val="1"/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Medium Grid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Light Grid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Light Shading Accent 4"/>
    <w:basedOn w:val="Style_60"/>
    <w:pPr>
      <w:widowControl w:val="1"/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Colorful Shading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Light Grid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Medium Shading 1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Colorful Grid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Light List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Shading 1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Medium Grid 1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Medium List 2 Accent 5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Colorful Grid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Colorful List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Colorful List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Colorful Shading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Light List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Dark List Accent 3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Medium List 2 Accent 3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Medium Grid 1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Medium List 1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2026-05-15T14:21:13Z</dcterms:modified>
</cp:coreProperties>
</file>