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Border-to-Coast-Annual-Report-and-Accounts-2023-2024.pdf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13209631.00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13554154.00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26366302.00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der-to-Coast-Annual-Report-and-Accounts-2023-2024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der-to-Coast-Annual-Report-and-Accounts-2023-2024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