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Sterling-Index-Linked-Bond-Fund-September-2024-Fund-Holdings.pdf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5568.97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1286207753.00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708180361.23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dex-Linked-Bond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dex-Linked-Bond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