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Border-to-Coast LGPS Data Report</w:t>
      </w:r>
    </w:p>
    <w:p>
      <w:pPr>
        <w:pStyle w:val="Heading2"/>
      </w:pPr>
      <w:r>
        <w:t>Summary Overview</w:t>
      </w:r>
    </w:p>
    <w:p>
      <w:r>
        <w:t>Total Assets Invested: GBP 59421393258.30</w:t>
      </w:r>
    </w:p>
    <w:p>
      <w:r>
        <w:t>UK Investment Exposure: GBP 11152147454.39</w:t>
      </w:r>
    </w:p>
    <w:p>
      <w:pPr>
        <w:pStyle w:val="Heading2"/>
      </w:pPr>
      <w:r>
        <w:t>Asset Class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Asset Class</w:t>
            </w:r>
          </w:p>
        </w:tc>
        <w:tc>
          <w:tcPr>
            <w:tcW w:type="dxa" w:w="4320"/>
          </w:tcPr>
          <w:p>
            <w:r>
              <w:t>Total Base Value (GBP)</w:t>
            </w:r>
          </w:p>
        </w:tc>
      </w:tr>
      <w:tr>
        <w:tc>
          <w:tcPr>
            <w:tcW w:type="dxa" w:w="4320"/>
          </w:tcPr>
          <w:p>
            <w:r>
              <w:t>Bonds</w:t>
            </w:r>
          </w:p>
        </w:tc>
        <w:tc>
          <w:tcPr>
            <w:tcW w:type="dxa" w:w="4320"/>
          </w:tcPr>
          <w:p>
            <w:r>
              <w:t>14659341079.56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26366302.00</w:t>
            </w:r>
          </w:p>
        </w:tc>
      </w:tr>
      <w:tr>
        <w:tc>
          <w:tcPr>
            <w:tcW w:type="dxa" w:w="4320"/>
          </w:tcPr>
          <w:p>
            <w:r>
              <w:t>Public Stocks</w:t>
            </w:r>
          </w:p>
        </w:tc>
        <w:tc>
          <w:tcPr>
            <w:tcW w:type="dxa" w:w="4320"/>
          </w:tcPr>
          <w:p>
            <w:r>
              <w:t>44735685876.74</w:t>
            </w:r>
          </w:p>
        </w:tc>
      </w:tr>
    </w:tbl>
    <w:p>
      <w:r>
        <w:t>Chart: Asset Class Breakdown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Direct vs Indirect Investments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</w:t>
            </w:r>
          </w:p>
        </w:tc>
        <w:tc>
          <w:tcPr>
            <w:tcW w:type="dxa" w:w="4320"/>
          </w:tcPr>
          <w:p>
            <w:r>
              <w:t>Total Base Value (GBP)</w:t>
            </w:r>
          </w:p>
        </w:tc>
      </w:tr>
      <w:tr>
        <w:tc>
          <w:tcPr>
            <w:tcW w:type="dxa" w:w="4320"/>
          </w:tcPr>
          <w:p>
            <w:r>
              <w:t>Direct</w:t>
            </w:r>
          </w:p>
        </w:tc>
        <w:tc>
          <w:tcPr>
            <w:tcW w:type="dxa" w:w="4320"/>
          </w:tcPr>
          <w:p>
            <w:r>
              <w:t>26366302.00</w:t>
            </w:r>
          </w:p>
        </w:tc>
      </w:tr>
      <w:tr>
        <w:tc>
          <w:tcPr>
            <w:tcW w:type="dxa" w:w="4320"/>
          </w:tcPr>
          <w:p>
            <w:r>
              <w:t>Indirect</w:t>
            </w:r>
          </w:p>
        </w:tc>
        <w:tc>
          <w:tcPr>
            <w:tcW w:type="dxa" w:w="4320"/>
          </w:tcPr>
          <w:p>
            <w:r>
              <w:t>59395026956.30</w:t>
            </w:r>
          </w:p>
        </w:tc>
      </w:tr>
    </w:tbl>
    <w:p>
      <w:r>
        <w:t>Chart: Direct vs Indirect Investments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rect_vs_indirec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Base Value by Fund</w:t>
      </w:r>
    </w:p>
    <w:p>
      <w:r>
        <w:t>This chart shows the Base Value for each fund: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_value_by_fun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Sector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Sector</w:t>
            </w:r>
          </w:p>
        </w:tc>
        <w:tc>
          <w:tcPr>
            <w:tcW w:type="dxa" w:w="4320"/>
          </w:tcPr>
          <w:p>
            <w:r>
              <w:t>Total Base Value (GBP)</w:t>
            </w:r>
          </w:p>
        </w:tc>
      </w:tr>
      <w:tr>
        <w:tc>
          <w:tcPr>
            <w:tcW w:type="dxa" w:w="4320"/>
          </w:tcPr>
          <w:p>
            <w:r>
              <w:t>Bonds</w:t>
            </w:r>
          </w:p>
        </w:tc>
        <w:tc>
          <w:tcPr>
            <w:tcW w:type="dxa" w:w="4320"/>
          </w:tcPr>
          <w:p>
            <w:r>
              <w:t>14659341079.56</w:t>
            </w:r>
          </w:p>
        </w:tc>
      </w:tr>
      <w:tr>
        <w:tc>
          <w:tcPr>
            <w:tcW w:type="dxa" w:w="4320"/>
          </w:tcPr>
          <w:p>
            <w:r>
              <w:t>Emerging Markets</w:t>
            </w:r>
          </w:p>
        </w:tc>
        <w:tc>
          <w:tcPr>
            <w:tcW w:type="dxa" w:w="4320"/>
          </w:tcPr>
          <w:p>
            <w:r>
              <w:t>4526720002.27</w:t>
            </w:r>
          </w:p>
        </w:tc>
      </w:tr>
      <w:tr>
        <w:tc>
          <w:tcPr>
            <w:tcW w:type="dxa" w:w="4320"/>
          </w:tcPr>
          <w:p>
            <w:r>
              <w:t>Global Equities</w:t>
            </w:r>
          </w:p>
        </w:tc>
        <w:tc>
          <w:tcPr>
            <w:tcW w:type="dxa" w:w="4320"/>
          </w:tcPr>
          <w:p>
            <w:r>
              <w:t>13284825894.20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15798358827.88</w:t>
            </w:r>
          </w:p>
        </w:tc>
      </w:tr>
      <w:tr>
        <w:tc>
          <w:tcPr>
            <w:tcW w:type="dxa" w:w="4320"/>
          </w:tcPr>
          <w:p>
            <w:r>
              <w:t>Public Stocks</w:t>
            </w:r>
          </w:p>
        </w:tc>
        <w:tc>
          <w:tcPr>
            <w:tcW w:type="dxa" w:w="4320"/>
          </w:tcPr>
          <w:p>
            <w:r>
              <w:t>11152147454.39</w:t>
            </w:r>
          </w:p>
        </w:tc>
      </w:tr>
    </w:tbl>
    <w:p>
      <w:r>
        <w:t>Chart: Sector Breakdown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_breakdow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