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Insights</w:t>
      </w:r>
    </w:p>
    <w:p>
      <w:r>
        <w:t>This data analysis explores key numerical metrics and fund holdings across various LGPS (Local Government Pension Scheme) pool portfolios and their sub-funds. We analyzed data from annual reports and fund holding reports spanning from December 2023 to September 2024. The focus is on metrics like "Max of Local Price," "Shares/Par," and "Base Value," as well as asset class and sector breakdowns where available, to understand the size, composition, and potential shifts in investment strategy over time.</w:t>
        <w:br/>
        <w:br/>
        <w:t>The "Max of Local Price" metric, found across all fund holdings reports, reflects the highest observed price for an asset within the portfolio.  The "Shares/Par" figure indicates the quantity of shares or par value held within the fund. "Base Value" represents the total valuation of the holdings.  Looking at these metrics together provides a sense of the fund's size and the individual asset valuation trends within it.</w:t>
        <w:br/>
        <w:br/>
        <w:t>Examining the individual funds, significant variations in "Base Value" and "Shares/Par" are apparent. The "Global-Equity-Alpha-Fund" and "Overseas-Developed-Markets-Equity-Fund" consistently demonstrate larger "Base Values," suggesting larger overall fund sizes compared to funds like "Listed-Alternatives-Fund" or "UK-Listed-Equity-Alpha-Fund."  The "Multi-Asset-Credit-Fund" shows exceptionally high "Shares/Par" figures, especially in March 2024, indicating substantial holdings, although these figures decrease slightly in September 2024. The "Shares/Par" metric is highest for Multi-Asset-Credit fund compared to other funds.</w:t>
        <w:br/>
        <w:br/>
        <w:t>Analyzing reports that include "Summary Metrics," "Asset Class Breakdown," and "Sector Breakdown" such as "Priced-Positions-DRF-Portfolio_Sept-2024" reveals the allocation strategy. The DRF Portfolio has the majority of its investments through Mutual Funds, indicating an indirect strategy. The "Priced-Positions-Emerging-Markets-ACS_Sept-2024" report shows a more diverse range of investment types, with a significant portion in Common Stock and Depository Receipts. The "Priced-Positions-Global-Sustainable-Equities-ACS_Sept-2024" report showcases a focus on Common Stock and Depository Receipts. Sector breakdown shows, the Global Sustainable Equities Fund has largest investments in Technology, Healthcare and Industrials.</w:t>
        <w:br/>
        <w:br/>
        <w:t>Comparing March and September 2024 data for some funds reveals temporal shifts. For instance, the "Emerging-Markets-Equity-Alpha-Fund" shows changes in "Base Value" and "Shares/Par" between the two periods, indicating portfolio adjustments.  The "Overseas-Developed-Markets-Equity-Fund" and "Global-Equity-Alpha-Fund" show decreases in "Base Value" between March and September. Analyzing these changes can help determine whether the investment strategy is performing as expected.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