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LGPS Data Analysis Insights</w:t>
      </w:r>
    </w:p>
    <w:p>
      <w:r>
        <w:t>Here's a summary write-up based on the provided LGPS portfolio data:</w:t>
        <w:br/>
        <w:br/>
        <w:t>The data comprises several LGPS fund portfolios. Analysing the Enhanced Border-to-Coast LGPS Data, the portfolio exhibits a total asset investment of approximately GBP 59.4 billion.  A notable GBP 11.15 billion is allocated to UK investments. Public stocks represent the largest asset class holding at GBP 44.7 billion, followed by Bonds at GBP 14.66 billion. Other assets make up a comparatively small part of the portfolio. The split between direct and indirect investments strongly favors indirect investments at GBP 59.39 billion, with direct investments accounting for GBP 26.3 million. Sector allocation largely mirrors the asset class breakdown, with Bonds and Public Stocks representing the largest allocations. Other significant sectors included emerging markets and global equities.</w:t>
        <w:br/>
        <w:br/>
        <w:t>Further analysis of three Brunel LGPS Data reports shows a more granular view of specific portfolio allocations. The 'DRF Portfolio' has a Total AUM of approximately GBP 965 million with a UK investment exposure of GBP 241.8 million. It's heavily weighted towards indirect investments in mutual funds. The major industry allocation for this fund is largely unavailable.</w:t>
        <w:br/>
        <w:br/>
        <w:t>The 'Emerging Markets ACS' portfolio has a Total AUM of approximately GBP 1.12 billion with UK exposure of GBP 17.7 million.  It's heavily invested in direct common stock holdings. Key sector allocations include Financials, Technology, Consumer Discretionary, and Consumer Staples.</w:t>
        <w:br/>
        <w:br/>
        <w:t>The 'Global Sustainable Equities ACS' portfolio represents a much larger AUM of approximately GBP 3.76 billion, with UK exposure of GBP 210.7 million. All investments are direct.  Holdings are primarily in common stock. Sector allocation is focused on Technology, Industrials, Healthcare, and Financials.</w:t>
        <w:br/>
        <w:br/>
        <w:t>**Key Conclusions:**</w:t>
        <w:br/>
        <w:br/>
        <w:t>*   **Diverse Asset Allocation:** The LGPS portfolios demonstrate diversification across asset classes (stocks, bonds, etc.) and sectors (Technology, Financials, etc.).</w:t>
        <w:br/>
        <w:t>*   **Emphasis on Indirect Investments:** In the 'Enhanced Border to Coast' and 'DRF Portfolio' there's a strong preference for indirect investments, potentially indicating a preference for outsourcing investment management.</w:t>
        <w:br/>
        <w:t>*   **Varied UK Exposure:** UK investment exposure varies significantly across portfolios, reflecting different investment strategies and mandates.</w:t>
        <w:br/>
        <w:t>*   **Sectoral Focus:** The Emerging Market and Global Sustainable Equities ACS portfolios have different allocations based on their mandates. The Emerging Markets focuses on financials and the Global Sustainable Equities heavily favors technology and industrials.</w:t>
        <w:br/>
        <w:t>*   **Sustainability Considerations:** The "Global Sustainable Equities ACS" portfolio shows specific allocation to sustainable equities that would be further confirmed by viewing the visuals of the data.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