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B90F45"/>
        </w:rPr>
        <w:t>Cumplimiento de objetivos — mi-proyecto</w:t>
      </w:r>
    </w:p>
    <w:p>
      <w:r>
        <w:rPr>
          <w:i/>
          <w:color w:val="6B6459"/>
          <w:sz w:val="17"/>
        </w:rPr>
        <w:t>Tabla original (objetivo general + 3 específicos) con una precisión en el Específico 2 y 3 filas agregadas: dos para lo que quedó fuera del alcance original (reseñas, RESTA3) y una para un objetivo transversal de seguridad. Blanco = enviada originalmente; rosa fuerte = precisada; rosa claro = agregada.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658" w:type="dxa"/>
      </w:tblPr>
      <w:tblGrid>
        <w:gridCol w:w="3288"/>
        <w:gridCol w:w="3118"/>
        <w:gridCol w:w="4252"/>
      </w:tblGrid>
      <w:tr>
        <w:trPr>
          <w:tblHeader w:val="true"/>
        </w:trPr>
        <w:tc>
          <w:tcPr>
            <w:tcW w:type="dxa" w:w="3288"/>
            <w:shd w:val="clear" w:color="auto" w:fill="221F1A"/>
          </w:tcPr>
          <w:p>
            <w:r/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3118"/>
            <w:shd w:val="clear" w:color="auto" w:fill="221F1A"/>
          </w:tcPr>
          <w:p>
            <w:r/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4252"/>
            <w:shd w:val="clear" w:color="auto" w:fill="221F1A"/>
          </w:tcPr>
          <w:p>
            <w:r/>
            <w:r>
              <w:rPr>
                <w:b/>
                <w:color w:val="FFFFFF"/>
                <w:sz w:val="19"/>
              </w:rPr>
              <w:t>Evidencia de cumplimiento</w:t>
            </w:r>
          </w:p>
        </w:tc>
      </w:tr>
      <w:tr>
        <w:tc>
          <w:tcPr>
            <w:tcW w:type="dxa" w:w="3288"/>
          </w:tcPr>
          <w:p>
            <w:r/>
            <w:r>
              <w:rPr>
                <w:b/>
                <w:color w:val="221F1A"/>
                <w:sz w:val="18"/>
              </w:rPr>
              <w:t>Objetivo general: sistema web integral de gestión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color w:val="221F1A"/>
                <w:sz w:val="18"/>
              </w:rPr>
              <w:t>Cumplido en desarrollo; validación en entorno real pendiente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color w:val="221F1A"/>
                <w:sz w:val="18"/>
              </w:rPr>
              <w:t>Cinco módulos desarrollados e integrados, aprobados en revisión funcional del asesor externo y probados por usuarios externos fuera de servicio real.</w:t>
            </w:r>
          </w:p>
        </w:tc>
      </w:tr>
      <w:tr>
        <w:tc>
          <w:tcPr>
            <w:tcW w:type="dxa" w:w="3288"/>
          </w:tcPr>
          <w:p>
            <w:r/>
            <w:r>
              <w:rPr>
                <w:b/>
                <w:color w:val="221F1A"/>
                <w:sz w:val="18"/>
              </w:rPr>
              <w:t>Específico 1: menú digital interactivo vía QR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color w:val="221F1A"/>
                <w:sz w:val="18"/>
              </w:rPr>
              <w:t>Cumplido y probado con usuarios externos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color w:val="221F1A"/>
                <w:sz w:val="18"/>
              </w:rPr>
              <w:t>Generación de código QR y actualización de catálogo verificadas en pruebas funcionales; usuarios externos consultaron el menú y registraron pedidos de prueba sin asistencia técnica.</w:t>
            </w:r>
          </w:p>
        </w:tc>
      </w:tr>
      <w:tr>
        <w:tc>
          <w:tcPr>
            <w:tcW w:type="dxa" w:w="3288"/>
            <w:shd w:val="clear" w:color="auto" w:fill="F6C9D6"/>
          </w:tcPr>
          <w:p>
            <w:r/>
            <w:r>
              <w:rPr>
                <w:b/>
                <w:color w:val="221F1A"/>
                <w:sz w:val="18"/>
              </w:rPr>
              <w:t>Específico 2: fidelización mediante tarjetas digitales QR</w:t>
            </w:r>
          </w:p>
        </w:tc>
        <w:tc>
          <w:tcPr>
            <w:tcW w:type="dxa" w:w="3118"/>
            <w:shd w:val="clear" w:color="auto" w:fill="F6C9D6"/>
          </w:tcPr>
          <w:p>
            <w:r/>
            <w:r>
              <w:rPr>
                <w:b w:val="0"/>
                <w:color w:val="221F1A"/>
                <w:sz w:val="18"/>
              </w:rPr>
              <w:t>Cumplido y probado con usuarios externos</w:t>
            </w:r>
          </w:p>
        </w:tc>
        <w:tc>
          <w:tcPr>
            <w:tcW w:type="dxa" w:w="4252"/>
            <w:shd w:val="clear" w:color="auto" w:fill="F6C9D6"/>
          </w:tcPr>
          <w:p>
            <w:r/>
            <w:r>
              <w:rPr>
                <w:b w:val="0"/>
                <w:color w:val="221F1A"/>
                <w:sz w:val="18"/>
              </w:rPr>
              <w:t xml:space="preserve">Registro de visitas y asignación automática de recompensas verificados en pruebas funcionales; usuarios externos revisaron su tarjeta de prueba sin dificultad. </w:t>
            </w:r>
            <w:r>
              <w:rPr>
                <w:b/>
                <w:color w:val="B90F45"/>
                <w:sz w:val="18"/>
              </w:rPr>
              <w:t>Precisión: la parte de consulta de tarjeta por el cliente sí está verificada y no depende del hallazgo de sesión. El "registro de visitas" probablemente se validó desde /admin/sellar, no desde el Panel de Empleados — esa ruta específica falla hoy por el descuadre de admin_session / employee_session documentado en el resto de esta revisión.</w:t>
            </w:r>
          </w:p>
        </w:tc>
      </w:tr>
      <w:tr>
        <w:tc>
          <w:tcPr>
            <w:tcW w:type="dxa" w:w="3288"/>
          </w:tcPr>
          <w:p>
            <w:r/>
            <w:r>
              <w:rPr>
                <w:b/>
                <w:color w:val="221F1A"/>
                <w:sz w:val="18"/>
              </w:rPr>
              <w:t>Específico 3: panel administrativo con indicadores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color w:val="221F1A"/>
                <w:sz w:val="18"/>
              </w:rPr>
              <w:t>Cumplido en desarrollo; validación en entorno real pendiente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color w:val="221F1A"/>
                <w:sz w:val="18"/>
              </w:rPr>
              <w:t>Gráficas de ventas, productos más solicitados y clientes registrados verificadas contra datos de prueba en revisión funcional con el asesor externo.</w:t>
            </w:r>
          </w:p>
        </w:tc>
      </w:tr>
      <w:tr>
        <w:tc>
          <w:tcPr>
            <w:tcW w:type="dxa" w:w="3288"/>
            <w:shd w:val="clear" w:color="auto" w:fill="FBE9EE"/>
          </w:tcPr>
          <w:p>
            <w:r/>
            <w:r>
              <w:rPr>
                <w:b/>
                <w:color w:val="221F1A"/>
                <w:sz w:val="18"/>
              </w:rPr>
              <w:t>• Adicional al alcance original: módulo de reseñas de platillos</w:t>
            </w:r>
          </w:p>
        </w:tc>
        <w:tc>
          <w:tcPr>
            <w:tcW w:type="dxa" w:w="3118"/>
            <w:shd w:val="clear" w:color="auto" w:fill="FBE9EE"/>
          </w:tcPr>
          <w:p>
            <w:r/>
            <w:r>
              <w:rPr>
                <w:b w:val="0"/>
                <w:color w:val="221F1A"/>
                <w:sz w:val="18"/>
              </w:rPr>
              <w:t>Cumplido y probado con usuarios externos (fuera del alcance original)</w:t>
            </w:r>
          </w:p>
        </w:tc>
        <w:tc>
          <w:tcPr>
            <w:tcW w:type="dxa" w:w="4252"/>
            <w:shd w:val="clear" w:color="auto" w:fill="FBE9EE"/>
          </w:tcPr>
          <w:p>
            <w:r/>
            <w:r>
              <w:rPr>
                <w:b w:val="0"/>
                <w:color w:val="221F1A"/>
                <w:sz w:val="18"/>
              </w:rPr>
              <w:t>Los usuarios externos preguntaron espontáneamente por esta función durante las pruebas; se incorporó como módulo adicional, no como objetivo específico formal (apartado 6.8.5).</w:t>
            </w:r>
          </w:p>
        </w:tc>
      </w:tr>
      <w:tr>
        <w:tc>
          <w:tcPr>
            <w:tcW w:type="dxa" w:w="3288"/>
            <w:shd w:val="clear" w:color="auto" w:fill="FBE9EE"/>
          </w:tcPr>
          <w:p>
            <w:r/>
            <w:r>
              <w:rPr>
                <w:b/>
                <w:color w:val="221F1A"/>
                <w:sz w:val="18"/>
              </w:rPr>
              <w:t>• Adicional al alcance original: Panel RESTA3 (TPV, mesas, cocina, corte de caja)</w:t>
            </w:r>
          </w:p>
        </w:tc>
        <w:tc>
          <w:tcPr>
            <w:tcW w:type="dxa" w:w="3118"/>
            <w:shd w:val="clear" w:color="auto" w:fill="FBE9EE"/>
          </w:tcPr>
          <w:p>
            <w:r/>
            <w:r>
              <w:rPr>
                <w:b w:val="0"/>
                <w:color w:val="221F1A"/>
                <w:sz w:val="18"/>
              </w:rPr>
              <w:t>Desarrollado; no formaba parte de los objetivos específicos originales, ni fue evaluado con el mismo rigor que los módulos comprometidos</w:t>
            </w:r>
          </w:p>
        </w:tc>
        <w:tc>
          <w:tcPr>
            <w:tcW w:type="dxa" w:w="4252"/>
            <w:shd w:val="clear" w:color="auto" w:fill="FBE9EE"/>
          </w:tcPr>
          <w:p>
            <w:r/>
            <w:r>
              <w:rPr>
                <w:b w:val="0"/>
                <w:color w:val="221F1A"/>
                <w:sz w:val="18"/>
              </w:rPr>
              <w:t>Cuatro sub-módulos construidos y verificados por revisión de código (documento "Módulos RESTA3"); pendiente de piloto formal (fase 7 del plan de despliegue).</w:t>
            </w:r>
          </w:p>
        </w:tc>
      </w:tr>
      <w:tr>
        <w:tc>
          <w:tcPr>
            <w:tcW w:type="dxa" w:w="3288"/>
            <w:shd w:val="clear" w:color="auto" w:fill="FBE9EE"/>
          </w:tcPr>
          <w:p>
            <w:r/>
            <w:r>
              <w:rPr>
                <w:b/>
                <w:color w:val="221F1A"/>
                <w:sz w:val="18"/>
              </w:rPr>
              <w:t>• Objetivo transversal: control de acceso diferenciado por rol</w:t>
            </w:r>
          </w:p>
        </w:tc>
        <w:tc>
          <w:tcPr>
            <w:tcW w:type="dxa" w:w="3118"/>
            <w:shd w:val="clear" w:color="auto" w:fill="FBE9EE"/>
          </w:tcPr>
          <w:p>
            <w:r/>
            <w:r>
              <w:rPr>
                <w:b w:val="0"/>
                <w:color w:val="221F1A"/>
                <w:sz w:val="18"/>
              </w:rPr>
              <w:t>Cumplido de forma parcial</w:t>
            </w:r>
          </w:p>
        </w:tc>
        <w:tc>
          <w:tcPr>
            <w:tcW w:type="dxa" w:w="4252"/>
            <w:shd w:val="clear" w:color="auto" w:fill="FBE9EE"/>
          </w:tcPr>
          <w:p>
            <w:r/>
            <w:r>
              <w:rPr>
                <w:b w:val="0"/>
                <w:color w:val="221F1A"/>
                <w:sz w:val="18"/>
              </w:rPr>
              <w:t>El diseño usa sesión diferenciada por rol, pero se confirmaron por código tres rutas donde esa diferenciación falla (sellado de tarjeta y menú desde Empleados, gestión de cuentas desde RESTA3) — ver documento de requerimientos no funcionales.</w:t>
            </w:r>
          </w:p>
        </w:tc>
      </w:tr>
    </w:tbl>
    <w:p/>
    <w:p>
      <w:r>
        <w:rPr>
          <w:i/>
          <w:color w:val="6B6459"/>
          <w:sz w:val="16"/>
        </w:rPr>
        <w:t>Nota: las filas "Adicional al alcance original" no sustituyen objetivos formales — se incluyen para que el capítulo de objetivos sea trazable con el resto de los documentos generados en esta revisión (RESTA3 y reseñas aparecen en varias otras tablas y merecían quedar reconocidos aquí, aunque nunca se prometieron como objetivo específico).</w:t>
      </w:r>
    </w:p>
    <w:sectPr w:rsidR="00FC693F" w:rsidRPr="0006063C" w:rsidSect="00034616"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