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B90F45"/>
        </w:rPr>
        <w:t>Riesgos y mitigación — mi-proyecto</w:t>
      </w:r>
    </w:p>
    <w:p>
      <w:r>
        <w:rPr>
          <w:i/>
          <w:color w:val="6B6459"/>
          <w:sz w:val="18"/>
        </w:rPr>
        <w:t>Tabla original (5 riesgos operativos/humanos) completada con 5 riesgos técnicos que ya no son anticipados sino confirmados por revisión de código. Blanco = enviada originalmente; rosa claro = agregada.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488" w:type="dxa"/>
      </w:tblPr>
      <w:tblGrid>
        <w:gridCol w:w="5102"/>
        <w:gridCol w:w="5386"/>
      </w:tblGrid>
      <w:tr>
        <w:trPr>
          <w:tblHeader w:val="true"/>
        </w:trPr>
        <w:tc>
          <w:tcPr>
            <w:tcW w:type="dxa" w:w="5102"/>
            <w:shd w:val="clear" w:color="auto" w:fill="221F1A"/>
          </w:tcPr>
          <w:p>
            <w:r/>
            <w:r>
              <w:rPr>
                <w:b/>
                <w:color w:val="FFFFFF"/>
                <w:sz w:val="19"/>
              </w:rPr>
              <w:t>Riesgo anticipado</w:t>
            </w:r>
          </w:p>
        </w:tc>
        <w:tc>
          <w:tcPr>
            <w:tcW w:type="dxa" w:w="5386"/>
            <w:shd w:val="clear" w:color="auto" w:fill="221F1A"/>
          </w:tcPr>
          <w:p>
            <w:r/>
            <w:r>
              <w:rPr>
                <w:b/>
                <w:color w:val="FFFFFF"/>
                <w:sz w:val="19"/>
              </w:rPr>
              <w:t>Estrategia de mitigación propuesta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221F1A"/>
                <w:sz w:val="18"/>
              </w:rPr>
              <w:t>Baja tasa de escaneo del código QR por parte de clientes de mayor edad o poco familiarizados con la tecnología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color w:val="221F1A"/>
                <w:sz w:val="18"/>
              </w:rPr>
              <w:t>Colocar una instrucción visual breve junto al código en cada mesa e indicar al personal ofrecer ayuda de forma proactiva durante las primeras semanas.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221F1A"/>
                <w:sz w:val="18"/>
              </w:rPr>
              <w:t>Fallas de lectura del código QR en condiciones de baja luminosidad durante el servicio nocturno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color w:val="221F1A"/>
                <w:sz w:val="18"/>
              </w:rPr>
              <w:t>Priorizar la verificación de este caso en la fase 4 del plan de despliegue (apartado 6.14.2) antes de considerar el piloto como concluido.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221F1A"/>
                <w:sz w:val="18"/>
              </w:rPr>
              <w:t>Interrupciones del servicio por conectividad inestable en ciertas áreas del restaurante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color w:val="221F1A"/>
                <w:sz w:val="18"/>
              </w:rPr>
              <w:t>Mantener disponible el proceso manual con comandas de papel como respaldo durante las primeras semanas de operación paralela.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221F1A"/>
                <w:sz w:val="18"/>
              </w:rPr>
              <w:t>Resistencia del personal a modificar hábitos de trabajo ya arraigados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color w:val="221F1A"/>
                <w:sz w:val="18"/>
              </w:rPr>
              <w:t>Capacitación presencial guiada por el estudiante o el asesor externo, con acompañamiento directo durante los primeros turnos de uso.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221F1A"/>
                <w:sz w:val="18"/>
              </w:rPr>
              <w:t>Baja participación inicial de clientes en el programa de fidelización digital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color w:val="221F1A"/>
                <w:sz w:val="18"/>
              </w:rPr>
              <w:t>Comunicar activamente el cambio del programa físico al digital, aprovechando la base de clientes frecuentes ya identificada en el diagnóstico del Capítulo II.</w:t>
            </w:r>
          </w:p>
        </w:tc>
      </w:tr>
      <w:tr>
        <w:tc>
          <w:tcPr>
            <w:tcW w:type="dxa" w:w="5102"/>
            <w:shd w:val="clear" w:color="auto" w:fill="FBE9EE"/>
          </w:tcPr>
          <w:p>
            <w:r/>
            <w:r>
              <w:rPr>
                <w:b/>
                <w:color w:val="221F1A"/>
                <w:sz w:val="18"/>
              </w:rPr>
              <w:t>• El personal operativo no puede sellar tarjetas ni gestionar el menú desde su propio panel, por un descuadre de sesión ya identificado en el código</w:t>
            </w:r>
          </w:p>
        </w:tc>
        <w:tc>
          <w:tcPr>
            <w:tcW w:type="dxa" w:w="5386"/>
            <w:shd w:val="clear" w:color="auto" w:fill="FBE9EE"/>
          </w:tcPr>
          <w:p>
            <w:r/>
            <w:r>
              <w:rPr>
                <w:b w:val="0"/>
                <w:color w:val="221F1A"/>
                <w:sz w:val="18"/>
              </w:rPr>
              <w:t>Ejecutar la Fase 0 de corrección técnica (ver plan de despliegue piloto) antes de la capacitación del personal; no depender de que el personal reporte el error durante el piloto.</w:t>
            </w:r>
          </w:p>
        </w:tc>
      </w:tr>
      <w:tr>
        <w:tc>
          <w:tcPr>
            <w:tcW w:type="dxa" w:w="5102"/>
            <w:shd w:val="clear" w:color="auto" w:fill="FBE9EE"/>
          </w:tcPr>
          <w:p>
            <w:r/>
            <w:r>
              <w:rPr>
                <w:b/>
                <w:color w:val="221F1A"/>
                <w:sz w:val="18"/>
              </w:rPr>
              <w:t>• Datos personales de clientes (nombre, teléfono) accesibles sin verificación de sesión desde ciertas rutas de la API</w:t>
            </w:r>
          </w:p>
        </w:tc>
        <w:tc>
          <w:tcPr>
            <w:tcW w:type="dxa" w:w="5386"/>
            <w:shd w:val="clear" w:color="auto" w:fill="FBE9EE"/>
          </w:tcPr>
          <w:p>
            <w:r/>
            <w:r>
              <w:rPr>
                <w:b w:val="0"/>
                <w:color w:val="221F1A"/>
                <w:sz w:val="18"/>
              </w:rPr>
              <w:t>Restringir el acceso a esas rutas antes de manejar datos reales de clientes, como parte de la política de seguridad y respaldo ya recomendada.</w:t>
            </w:r>
          </w:p>
        </w:tc>
      </w:tr>
      <w:tr>
        <w:tc>
          <w:tcPr>
            <w:tcW w:type="dxa" w:w="5102"/>
            <w:shd w:val="clear" w:color="auto" w:fill="FBE9EE"/>
          </w:tcPr>
          <w:p>
            <w:r/>
            <w:r>
              <w:rPr>
                <w:b/>
                <w:color w:val="221F1A"/>
                <w:sz w:val="18"/>
              </w:rPr>
              <w:t>• Documentación del proyecto desactualizada respecto al comportamiento real del sistema, lo que puede confundir a quien dé mantenimiento después del piloto</w:t>
            </w:r>
          </w:p>
        </w:tc>
        <w:tc>
          <w:tcPr>
            <w:tcW w:type="dxa" w:w="5386"/>
            <w:shd w:val="clear" w:color="auto" w:fill="FBE9EE"/>
          </w:tcPr>
          <w:p>
            <w:r/>
            <w:r>
              <w:rPr>
                <w:b w:val="0"/>
                <w:color w:val="221F1A"/>
                <w:sz w:val="18"/>
              </w:rPr>
              <w:t>Actualizar la documentación técnica (flujo de registro de clientes, pestaña de registro de RESTA3) como parte del cierre de esta etapa.</w:t>
            </w:r>
          </w:p>
        </w:tc>
      </w:tr>
      <w:tr>
        <w:tc>
          <w:tcPr>
            <w:tcW w:type="dxa" w:w="5102"/>
            <w:shd w:val="clear" w:color="auto" w:fill="FBE9EE"/>
          </w:tcPr>
          <w:p>
            <w:r/>
            <w:r>
              <w:rPr>
                <w:b/>
                <w:color w:val="221F1A"/>
                <w:sz w:val="18"/>
              </w:rPr>
              <w:t>• Los turnos del personal en RESTA3 se pierden al cambiar de dispositivo o borrar el caché del navegador, por no estar guardados en la base de datos</w:t>
            </w:r>
          </w:p>
        </w:tc>
        <w:tc>
          <w:tcPr>
            <w:tcW w:type="dxa" w:w="5386"/>
            <w:shd w:val="clear" w:color="auto" w:fill="FBE9EE"/>
          </w:tcPr>
          <w:p>
            <w:r/>
            <w:r>
              <w:rPr>
                <w:b w:val="0"/>
                <w:color w:val="221F1A"/>
                <w:sz w:val="18"/>
              </w:rPr>
              <w:t>Formalizar el guardado de turnos en Supabase antes de que el restaurante dependa de esa vista para su operación diaria.</w:t>
            </w:r>
          </w:p>
        </w:tc>
      </w:tr>
      <w:tr>
        <w:tc>
          <w:tcPr>
            <w:tcW w:type="dxa" w:w="5102"/>
            <w:shd w:val="clear" w:color="auto" w:fill="FBE9EE"/>
          </w:tcPr>
          <w:p>
            <w:r/>
            <w:r>
              <w:rPr>
                <w:b/>
                <w:color w:val="221F1A"/>
                <w:sz w:val="18"/>
              </w:rPr>
              <w:t>• RESTA3, al ser un panel independiente y más reciente que los demás, puede no recibir la misma atención de capacitación o pruebas que el Panel de Empleados</w:t>
            </w:r>
          </w:p>
        </w:tc>
        <w:tc>
          <w:tcPr>
            <w:tcW w:type="dxa" w:w="5386"/>
            <w:shd w:val="clear" w:color="auto" w:fill="FBE9EE"/>
          </w:tcPr>
          <w:p>
            <w:r/>
            <w:r>
              <w:rPr>
                <w:b w:val="0"/>
                <w:color w:val="221F1A"/>
                <w:sz w:val="18"/>
              </w:rPr>
              <w:t>Incluir explícitamente el piloto de RESTA3 (fase 7 del plan de despliegue) con su propio acompañamiento, en vez de asumir que queda cubierto por la capacitación general.</w:t>
            </w:r>
          </w:p>
        </w:tc>
      </w:tr>
    </w:tbl>
    <w:p/>
    <w:p>
      <w:r>
        <w:rPr>
          <w:i/>
          <w:color w:val="6B6459"/>
          <w:sz w:val="16"/>
        </w:rPr>
        <w:t>Nota: los riesgos originales son anticipados (hipótesis razonables sobre el comportamiento humano y del entorno físico). Los 5 agregados ya no son hipótesis — están confirmados por revisión directa del código durante esta sesión, lo que los hace, en rigor, hallazgos con mitigación pendiente más que riesgos por anticipar.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