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92D7" w14:textId="4AE440E2" w:rsidR="00261785" w:rsidRPr="00261785" w:rsidRDefault="00000000" w:rsidP="00261785">
      <w:pPr>
        <w:pStyle w:val="Ttulo1"/>
        <w:spacing w:before="0" w:after="240"/>
        <w:rPr>
          <w:color w:val="auto"/>
          <w:sz w:val="32"/>
          <w:szCs w:val="32"/>
        </w:rPr>
      </w:pPr>
      <w:proofErr w:type="spellStart"/>
      <w:r w:rsidRPr="00261785">
        <w:rPr>
          <w:color w:val="auto"/>
          <w:sz w:val="32"/>
          <w:szCs w:val="32"/>
        </w:rPr>
        <w:t>Reporte</w:t>
      </w:r>
      <w:proofErr w:type="spellEnd"/>
      <w:r w:rsidRPr="00261785">
        <w:rPr>
          <w:color w:val="auto"/>
          <w:sz w:val="32"/>
          <w:szCs w:val="32"/>
        </w:rPr>
        <w:t xml:space="preserve"> </w:t>
      </w:r>
      <w:proofErr w:type="spellStart"/>
      <w:r w:rsidRPr="00261785">
        <w:rPr>
          <w:color w:val="auto"/>
          <w:sz w:val="32"/>
          <w:szCs w:val="32"/>
        </w:rPr>
        <w:t>Estratégico</w:t>
      </w:r>
      <w:proofErr w:type="spellEnd"/>
      <w:r w:rsidR="00261785">
        <w:rPr>
          <w:color w:val="auto"/>
          <w:sz w:val="32"/>
          <w:szCs w:val="32"/>
        </w:rPr>
        <w:t>:</w:t>
      </w:r>
      <w:r w:rsidRPr="00261785">
        <w:rPr>
          <w:color w:val="auto"/>
          <w:sz w:val="32"/>
          <w:szCs w:val="32"/>
        </w:rPr>
        <w:t xml:space="preserve"> EPM</w:t>
      </w:r>
    </w:p>
    <w:p w14:paraId="5ECEB0F8" w14:textId="77777777" w:rsidR="00261785" w:rsidRPr="00261785" w:rsidRDefault="00261785" w:rsidP="00261785">
      <w:pPr>
        <w:jc w:val="both"/>
        <w:rPr>
          <w:lang w:val="es-CO"/>
        </w:rPr>
      </w:pPr>
      <w:r w:rsidRPr="00261785">
        <w:rPr>
          <w:lang w:val="es-CO"/>
        </w:rPr>
        <w:t>Durante el último ciclo fiscal, EPM presentó variaciones significativas en sus principales indicadores de desempeño, incluyendo eficiencia operativa, despliegue estratégico de activos, niveles de retención de clientes, adopción de procesos de transformación digital y madurez general en gobernanza corporativa. Para este análisis se emplean datos sintéticos que permiten simular escenarios y observar tendencias proyectadas en el comportamiento institucional.</w:t>
      </w:r>
    </w:p>
    <w:p w14:paraId="3A67FB20" w14:textId="4A584D44" w:rsidR="00261785" w:rsidRPr="00261785" w:rsidRDefault="00261785" w:rsidP="00261785">
      <w:pPr>
        <w:jc w:val="both"/>
        <w:rPr>
          <w:lang w:val="es-CO"/>
        </w:rPr>
      </w:pPr>
      <w:r w:rsidRPr="00261785">
        <w:rPr>
          <w:lang w:val="es-CO"/>
        </w:rPr>
        <w:t xml:space="preserve">Los resultados muestran un incremento progresivo en la penetración de servicios digitales, que inicia en un 50,0% y asciende hasta un 70,7% en las iteraciones finales del modelo. Este crecimiento simulado refleja una mayor integración tecnológica dentro de las líneas de negocio, así como una apropiación más amplia de plataformas digitales por parte de los usuarios. A su vez, los ajustes proyectados en los costos operativos –entre 3,5% y 7,1%– sugieren un escenario de optimización </w:t>
      </w:r>
      <w:r w:rsidRPr="00261785">
        <w:rPr>
          <w:lang w:val="es-CO"/>
        </w:rPr>
        <w:t>continúa</w:t>
      </w:r>
      <w:r w:rsidRPr="00261785">
        <w:rPr>
          <w:lang w:val="es-CO"/>
        </w:rPr>
        <w:t xml:space="preserve"> orientado a mejorar la eficiencia de los procesos internos.</w:t>
      </w:r>
    </w:p>
    <w:p w14:paraId="4219DD15" w14:textId="77777777" w:rsidR="00261785" w:rsidRPr="00261785" w:rsidRDefault="00261785" w:rsidP="00261785">
      <w:pPr>
        <w:jc w:val="both"/>
        <w:rPr>
          <w:lang w:val="es-CO"/>
        </w:rPr>
      </w:pPr>
      <w:r w:rsidRPr="00261785">
        <w:rPr>
          <w:lang w:val="es-CO"/>
        </w:rPr>
        <w:t>La expansión del margen estimado evidencia también una tendencia ascendente, partiendo de un 10,0% y alcanzando hasta un 20,8%. Este comportamiento está asociado a mejoras operativas simuladas, una asignación más estratégica de recursos y un fortalecimiento progresivo de la cadena de suministro.</w:t>
      </w:r>
    </w:p>
    <w:p w14:paraId="75433C07" w14:textId="77777777" w:rsidR="00261785" w:rsidRPr="00261785" w:rsidRDefault="00261785" w:rsidP="00261785">
      <w:pPr>
        <w:jc w:val="both"/>
        <w:rPr>
          <w:lang w:val="es-CO"/>
        </w:rPr>
      </w:pPr>
      <w:r w:rsidRPr="00261785">
        <w:rPr>
          <w:lang w:val="es-CO"/>
        </w:rPr>
        <w:t>En el componente de riesgo, el coeficiente de varianza proyectado oscila entre 0,45 y 0,54, lo cual indica un nivel de exposición controlada en áreas críticas como la continuidad tecnológica, la liquidez financiera y la logística de abastecimiento. En este marco ficticio, la organización se mantiene dentro de un rango de estabilidad aceptable.</w:t>
      </w:r>
    </w:p>
    <w:p w14:paraId="2F62CABC" w14:textId="77777777" w:rsidR="00261785" w:rsidRPr="00261785" w:rsidRDefault="00261785" w:rsidP="00261785">
      <w:pPr>
        <w:jc w:val="both"/>
        <w:rPr>
          <w:lang w:val="es-CO"/>
        </w:rPr>
      </w:pPr>
      <w:r w:rsidRPr="00261785">
        <w:rPr>
          <w:lang w:val="es-CO"/>
        </w:rPr>
        <w:t xml:space="preserve">Finalmente, los niveles de satisfacción de los </w:t>
      </w:r>
      <w:proofErr w:type="spellStart"/>
      <w:r w:rsidRPr="00261785">
        <w:rPr>
          <w:lang w:val="es-CO"/>
        </w:rPr>
        <w:t>stakeholders</w:t>
      </w:r>
      <w:proofErr w:type="spellEnd"/>
      <w:r w:rsidRPr="00261785">
        <w:rPr>
          <w:lang w:val="es-CO"/>
        </w:rPr>
        <w:t xml:space="preserve"> muestran un aumento sostenido, pasando de 75,0% a 88,5% a lo largo de las simulaciones. Estos resultados se relacionan con mejoras en la comunicación estratégica, mayor confiabilidad de las plataformas operacionales y una adopción más rigurosa de prácticas de cumplimiento regulatorio.</w:t>
      </w:r>
    </w:p>
    <w:p w14:paraId="7C08613D" w14:textId="77777777" w:rsidR="00261785" w:rsidRPr="00261785" w:rsidRDefault="00261785" w:rsidP="00261785">
      <w:pPr>
        <w:jc w:val="both"/>
        <w:rPr>
          <w:lang w:val="es-CO"/>
        </w:rPr>
      </w:pPr>
      <w:r w:rsidRPr="00261785">
        <w:rPr>
          <w:lang w:val="es-CO"/>
        </w:rPr>
        <w:t>En conjunto, estos datos sintéticos permiten construir un panorama estructurado del desempeño proyectado de EPM bajo diferentes escenarios, resaltando el avance en digitalización, eficiencia y gobernanza corporativa.</w:t>
      </w:r>
    </w:p>
    <w:p w14:paraId="2D623C35" w14:textId="77777777" w:rsidR="00261785" w:rsidRDefault="00261785" w:rsidP="00261785">
      <w:pPr>
        <w:jc w:val="both"/>
      </w:pPr>
      <w:r>
        <w:rPr>
          <w:noProof/>
        </w:rPr>
        <w:drawing>
          <wp:inline distT="0" distB="0" distL="0" distR="0" wp14:anchorId="0E874FFF" wp14:editId="781494A4">
            <wp:extent cx="1823013" cy="666750"/>
            <wp:effectExtent l="0" t="0" r="6350" b="0"/>
            <wp:docPr id="2057544538" name="Imagen 6" descr="Download HD Firma Del Presidente - Signature Transparent PNG Image -  Nice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HD Firma Del Presidente - Signature Transparent PNG Image -  NicePNG.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2880" cy="670359"/>
                    </a:xfrm>
                    <a:prstGeom prst="rect">
                      <a:avLst/>
                    </a:prstGeom>
                    <a:noFill/>
                    <a:ln>
                      <a:noFill/>
                    </a:ln>
                  </pic:spPr>
                </pic:pic>
              </a:graphicData>
            </a:graphic>
          </wp:inline>
        </w:drawing>
      </w:r>
    </w:p>
    <w:p w14:paraId="2CAC75AD" w14:textId="77777777" w:rsidR="00261785" w:rsidRPr="003A77EC" w:rsidRDefault="00261785" w:rsidP="00261785">
      <w:pPr>
        <w:spacing w:after="0"/>
        <w:jc w:val="both"/>
        <w:rPr>
          <w:sz w:val="24"/>
          <w:szCs w:val="24"/>
        </w:rPr>
      </w:pPr>
      <w:r w:rsidRPr="003A77EC">
        <w:rPr>
          <w:sz w:val="24"/>
          <w:szCs w:val="24"/>
        </w:rPr>
        <w:t>Valeria Montoya</w:t>
      </w:r>
    </w:p>
    <w:p w14:paraId="6F2B3F11" w14:textId="77777777" w:rsidR="00261785" w:rsidRPr="003A77EC" w:rsidRDefault="00261785" w:rsidP="00261785">
      <w:pPr>
        <w:spacing w:after="0"/>
        <w:jc w:val="both"/>
        <w:rPr>
          <w:b/>
          <w:bCs/>
          <w:lang w:val="es-CO"/>
        </w:rPr>
      </w:pPr>
      <w:r w:rsidRPr="003A77EC">
        <w:rPr>
          <w:b/>
          <w:bCs/>
          <w:lang w:val="es-CO"/>
        </w:rPr>
        <w:t>Directora Financiera y de Operaciones, CFOO.</w:t>
      </w:r>
    </w:p>
    <w:p w14:paraId="691F6B7B" w14:textId="77777777" w:rsidR="00261785" w:rsidRDefault="00261785" w:rsidP="00261785">
      <w:pPr>
        <w:jc w:val="both"/>
      </w:pPr>
      <w:r w:rsidRPr="003A77EC">
        <w:t>valeria.montoya@finanzalpes.xyz</w:t>
      </w:r>
    </w:p>
    <w:p w14:paraId="756B34B5" w14:textId="77777777" w:rsidR="00261785" w:rsidRDefault="00261785" w:rsidP="00261785">
      <w:pPr>
        <w:jc w:val="both"/>
      </w:pPr>
    </w:p>
    <w:p w14:paraId="2CD1FA97" w14:textId="77777777" w:rsidR="00261785" w:rsidRPr="004C6147" w:rsidRDefault="00261785" w:rsidP="00261785">
      <w:pPr>
        <w:pStyle w:val="Ttulo1"/>
        <w:rPr>
          <w:color w:val="auto"/>
        </w:rPr>
      </w:pPr>
      <w:r w:rsidRPr="004C6147">
        <w:rPr>
          <w:color w:val="auto"/>
        </w:rPr>
        <w:lastRenderedPageBreak/>
        <w:t xml:space="preserve">** TODA </w:t>
      </w:r>
      <w:proofErr w:type="spellStart"/>
      <w:r w:rsidRPr="004C6147">
        <w:rPr>
          <w:color w:val="auto"/>
        </w:rPr>
        <w:t>esta</w:t>
      </w:r>
      <w:proofErr w:type="spellEnd"/>
      <w:r w:rsidRPr="004C6147">
        <w:rPr>
          <w:color w:val="auto"/>
        </w:rPr>
        <w:t xml:space="preserve"> </w:t>
      </w:r>
      <w:proofErr w:type="spellStart"/>
      <w:r w:rsidRPr="004C6147">
        <w:rPr>
          <w:color w:val="auto"/>
        </w:rPr>
        <w:t>infomación</w:t>
      </w:r>
      <w:proofErr w:type="spellEnd"/>
      <w:r w:rsidRPr="004C6147">
        <w:rPr>
          <w:color w:val="auto"/>
        </w:rPr>
        <w:t xml:space="preserve"> es </w:t>
      </w:r>
      <w:proofErr w:type="spellStart"/>
      <w:r w:rsidRPr="004C6147">
        <w:rPr>
          <w:color w:val="auto"/>
        </w:rPr>
        <w:t>ficticia</w:t>
      </w:r>
      <w:proofErr w:type="spellEnd"/>
      <w:r w:rsidRPr="004C6147">
        <w:rPr>
          <w:color w:val="auto"/>
        </w:rPr>
        <w:t xml:space="preserve"> y no </w:t>
      </w:r>
      <w:proofErr w:type="spellStart"/>
      <w:r w:rsidRPr="004C6147">
        <w:rPr>
          <w:color w:val="auto"/>
        </w:rPr>
        <w:t>debe</w:t>
      </w:r>
      <w:proofErr w:type="spellEnd"/>
      <w:r w:rsidRPr="004C6147">
        <w:rPr>
          <w:color w:val="auto"/>
        </w:rPr>
        <w:t xml:space="preserve"> </w:t>
      </w:r>
      <w:proofErr w:type="spellStart"/>
      <w:r w:rsidRPr="004C6147">
        <w:rPr>
          <w:color w:val="auto"/>
        </w:rPr>
        <w:t>tomarse</w:t>
      </w:r>
      <w:proofErr w:type="spellEnd"/>
      <w:r w:rsidRPr="004C6147">
        <w:rPr>
          <w:color w:val="auto"/>
        </w:rPr>
        <w:t xml:space="preserve"> </w:t>
      </w:r>
      <w:proofErr w:type="spellStart"/>
      <w:r w:rsidRPr="004C6147">
        <w:rPr>
          <w:color w:val="auto"/>
        </w:rPr>
        <w:t>como</w:t>
      </w:r>
      <w:proofErr w:type="spellEnd"/>
      <w:r w:rsidRPr="004C6147">
        <w:rPr>
          <w:color w:val="auto"/>
        </w:rPr>
        <w:t xml:space="preserve"> </w:t>
      </w:r>
      <w:proofErr w:type="spellStart"/>
      <w:r w:rsidRPr="004C6147">
        <w:rPr>
          <w:color w:val="auto"/>
        </w:rPr>
        <w:t>informacion</w:t>
      </w:r>
      <w:proofErr w:type="spellEnd"/>
      <w:r w:rsidRPr="004C6147">
        <w:rPr>
          <w:color w:val="auto"/>
        </w:rPr>
        <w:t xml:space="preserve"> </w:t>
      </w:r>
      <w:proofErr w:type="spellStart"/>
      <w:r w:rsidRPr="004C6147">
        <w:rPr>
          <w:color w:val="auto"/>
        </w:rPr>
        <w:t>veridica</w:t>
      </w:r>
      <w:proofErr w:type="spellEnd"/>
      <w:r w:rsidRPr="004C6147">
        <w:rPr>
          <w:color w:val="auto"/>
        </w:rPr>
        <w:t xml:space="preserve"> </w:t>
      </w:r>
      <w:proofErr w:type="spellStart"/>
      <w:r w:rsidRPr="004C6147">
        <w:rPr>
          <w:color w:val="auto"/>
        </w:rPr>
        <w:t>ni</w:t>
      </w:r>
      <w:proofErr w:type="spellEnd"/>
      <w:r w:rsidRPr="004C6147">
        <w:rPr>
          <w:color w:val="auto"/>
        </w:rPr>
        <w:t xml:space="preserve"> </w:t>
      </w:r>
      <w:proofErr w:type="spellStart"/>
      <w:r w:rsidRPr="004C6147">
        <w:rPr>
          <w:color w:val="auto"/>
        </w:rPr>
        <w:t>representa</w:t>
      </w:r>
      <w:proofErr w:type="spellEnd"/>
      <w:r w:rsidRPr="004C6147">
        <w:rPr>
          <w:color w:val="auto"/>
        </w:rPr>
        <w:t xml:space="preserve"> la </w:t>
      </w:r>
      <w:proofErr w:type="spellStart"/>
      <w:r w:rsidRPr="004C6147">
        <w:rPr>
          <w:color w:val="auto"/>
        </w:rPr>
        <w:t>realidad</w:t>
      </w:r>
      <w:proofErr w:type="spellEnd"/>
      <w:r w:rsidRPr="004C6147">
        <w:rPr>
          <w:color w:val="auto"/>
        </w:rPr>
        <w:t xml:space="preserve">. </w:t>
      </w:r>
    </w:p>
    <w:p w14:paraId="3B70AD26" w14:textId="77777777" w:rsidR="00261785" w:rsidRPr="00261785" w:rsidRDefault="00261785" w:rsidP="00261785"/>
    <w:sectPr w:rsidR="00261785" w:rsidRPr="00261785"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3C03C" w14:textId="77777777" w:rsidR="009D030D" w:rsidRDefault="009D030D" w:rsidP="00261785">
      <w:pPr>
        <w:spacing w:after="0" w:line="240" w:lineRule="auto"/>
      </w:pPr>
      <w:r>
        <w:separator/>
      </w:r>
    </w:p>
  </w:endnote>
  <w:endnote w:type="continuationSeparator" w:id="0">
    <w:p w14:paraId="7A23973E" w14:textId="77777777" w:rsidR="009D030D" w:rsidRDefault="009D030D" w:rsidP="0026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ADFF9" w14:textId="77777777" w:rsidR="009D030D" w:rsidRDefault="009D030D" w:rsidP="00261785">
      <w:pPr>
        <w:spacing w:after="0" w:line="240" w:lineRule="auto"/>
      </w:pPr>
      <w:r>
        <w:separator/>
      </w:r>
    </w:p>
  </w:footnote>
  <w:footnote w:type="continuationSeparator" w:id="0">
    <w:p w14:paraId="08004D3C" w14:textId="77777777" w:rsidR="009D030D" w:rsidRDefault="009D030D" w:rsidP="00261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C23" w14:textId="46CC1B15" w:rsidR="00261785" w:rsidRDefault="00261785">
    <w:pPr>
      <w:pStyle w:val="Encabezado"/>
    </w:pPr>
    <w:r>
      <w:rPr>
        <w:noProof/>
      </w:rPr>
      <w:drawing>
        <wp:anchor distT="0" distB="0" distL="114300" distR="114300" simplePos="0" relativeHeight="251659264" behindDoc="0" locked="0" layoutInCell="1" allowOverlap="1" wp14:anchorId="1F37D5AA" wp14:editId="4C847830">
          <wp:simplePos x="0" y="0"/>
          <wp:positionH relativeFrom="column">
            <wp:posOffset>-1104900</wp:posOffset>
          </wp:positionH>
          <wp:positionV relativeFrom="paragraph">
            <wp:posOffset>-428625</wp:posOffset>
          </wp:positionV>
          <wp:extent cx="2587625" cy="819150"/>
          <wp:effectExtent l="0" t="0" r="0" b="0"/>
          <wp:wrapSquare wrapText="bothSides"/>
          <wp:docPr id="64951994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9948"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6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2159608">
    <w:abstractNumId w:val="8"/>
  </w:num>
  <w:num w:numId="2" w16cid:durableId="604072499">
    <w:abstractNumId w:val="6"/>
  </w:num>
  <w:num w:numId="3" w16cid:durableId="2089188003">
    <w:abstractNumId w:val="5"/>
  </w:num>
  <w:num w:numId="4" w16cid:durableId="950285556">
    <w:abstractNumId w:val="4"/>
  </w:num>
  <w:num w:numId="5" w16cid:durableId="2069376135">
    <w:abstractNumId w:val="7"/>
  </w:num>
  <w:num w:numId="6" w16cid:durableId="1560553229">
    <w:abstractNumId w:val="3"/>
  </w:num>
  <w:num w:numId="7" w16cid:durableId="1864056432">
    <w:abstractNumId w:val="2"/>
  </w:num>
  <w:num w:numId="8" w16cid:durableId="172309328">
    <w:abstractNumId w:val="1"/>
  </w:num>
  <w:num w:numId="9" w16cid:durableId="152875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518"/>
    <w:rsid w:val="0015074B"/>
    <w:rsid w:val="00261785"/>
    <w:rsid w:val="0029639D"/>
    <w:rsid w:val="00326F90"/>
    <w:rsid w:val="009D030D"/>
    <w:rsid w:val="00AA1D8D"/>
    <w:rsid w:val="00B47730"/>
    <w:rsid w:val="00CB0664"/>
    <w:rsid w:val="00F20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BFBE4"/>
  <w14:defaultImageDpi w14:val="300"/>
  <w15:docId w15:val="{07DE3AE8-1452-49B3-8BBC-A498587C2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376</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Diego Lugo Sanchez</cp:lastModifiedBy>
  <cp:revision>2</cp:revision>
  <dcterms:created xsi:type="dcterms:W3CDTF">2013-12-23T23:15:00Z</dcterms:created>
  <dcterms:modified xsi:type="dcterms:W3CDTF">2025-11-18T04:53:00Z</dcterms:modified>
  <cp:category/>
</cp:coreProperties>
</file>