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PA1: From Bellman Updates to TD Control</w:t>
      </w:r>
    </w:p>
    <w:p>
      <w:pPr>
        <w:pBdr>
          <w:bottom w:val="single" w:color="1F3864" w:sz="6" w:space="4"/>
        </w:pBdr>
        <w:spacing w:after="6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&lt;Your name&gt;  ·  &lt;Student ID&gt;  ·  Reinforcement Learning (Graduate)</w:t>
      </w:r>
    </w:p>
    <w:p>
      <w:pPr>
        <w:spacing w:after="40" w:line="252"/>
        <w:jc w:val="both"/>
      </w:pPr>
      <w:r>
        <w:rPr>
          <w:rFonts w:ascii="Calibri" w:cs="Calibri" w:eastAsia="Calibri" w:hAnsi="Calibri"/>
          <w:sz w:val="17"/>
          <w:szCs w:val="17"/>
        </w:rPr>
        <w:t xml:space="preserve">Implementation details, conventions, seeds and reproduction commands are in README.md. All graded numbers come from results.json (spec settings, seeds 0–4). Experiments marked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[supp.]</w:t>
      </w:r>
      <w:r>
        <w:rPr>
          <w:rFonts w:ascii="Calibri" w:cs="Calibri" w:eastAsia="Calibri" w:hAnsi="Calibri"/>
          <w:sz w:val="17"/>
          <w:szCs w:val="17"/>
        </w:rPr>
        <w:t xml:space="preserve"> are supplementary: they reuse the same update rules and agent.epsilon_greedy (a check confirms bit-identical Q tables to agent.sarsa/agent.q_learning) and use 20 seeds where stated (python extra_experiments.py).</w:t>
      </w:r>
    </w:p>
    <w:p>
      <w:pPr>
        <w:pStyle w:val="Heading1"/>
        <w:keepNext/>
        <w:keepLines/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  Policy iteration vs value iteration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99"/>
        <w:gridCol w:w="5307"/>
      </w:tblGrid>
      <w:tr>
        <w:tc>
          <w:tcPr>
            <w:tcW w:type="dxa" w:w="48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3048000" cy="2371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Figure 1.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RoomsGridWorld: V* (colour, value in cell) and the greedy policy (arrows). PI and VI produce exactly this map.</w:t>
            </w:r>
          </w:p>
        </w:tc>
        <w:tc>
          <w:tcPr>
            <w:tcW w:type="dxa" w:w="5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70" w:line="252"/>
              <w:jc w:val="both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Both methods reach the same optimal policy and the same values.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largest difference between V_PI and V_VI is exactly 0.0, every state gets the same action, and the greedy path from S (up the left column, then right along the top row) reaches G in 11 steps with undiscounted return 0 (V*(S) = −2.038). At S,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right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are exactly tied (Q = −2.0379 for both); the lowest-index rule selects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70" w:line="252"/>
              <w:jc w:val="both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counts differ because they count different things.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PI needs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 rounds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VI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 sweeps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but every PI round contains a complete policy evaluation. Counted in sweeps, PI does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3,276 evaluation sweeps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(6 × 540 + 3 × 12) versus 12 for VI, about 270 times more backups (Table 1, Figure 2).</w:t>
            </w:r>
          </w:p>
          <w:tbl>
            <w:tblPr>
              <w:tblW w:type="dxa" w:w="5205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70"/>
              <w:gridCol w:w="1874"/>
              <w:gridCol w:w="1561"/>
            </w:tblGrid>
            <w:tr>
              <w:trPr>
                <w:tblHeader/>
              </w:trPr>
              <w:tc>
                <w:tcPr>
                  <w:tcW w:type="dxa" w:w="1770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8EEF7" w:color="auto" w:val="clear"/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1874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8EEF7" w:color="auto" w:val="clear"/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Policy iteration</w:t>
                  </w:r>
                </w:p>
              </w:tc>
              <w:tc>
                <w:tcPr>
                  <w:tcW w:type="dxa" w:w="1561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8EEF7" w:color="auto" w:val="clear"/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Value iteration</w:t>
                  </w:r>
                </w:p>
              </w:tc>
            </w:tr>
            <w:tr>
              <w:tc>
                <w:tcPr>
                  <w:tcW w:type="dxa" w:w="1770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Iterations</w:t>
                  </w:r>
                </w:p>
              </w:tc>
              <w:tc>
                <w:tcPr>
                  <w:tcW w:type="dxa" w:w="1874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9 rounds</w:t>
                  </w:r>
                </w:p>
              </w:tc>
              <w:tc>
                <w:tcPr>
                  <w:tcW w:type="dxa" w:w="1561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12 sweeps</w:t>
                  </w:r>
                </w:p>
              </w:tc>
            </w:tr>
            <w:tr>
              <w:tc>
                <w:tcPr>
                  <w:tcW w:type="dxa" w:w="1770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7F7F5" w:color="auto" w:val="clear"/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Total sweeps</w:t>
                  </w:r>
                </w:p>
              </w:tc>
              <w:tc>
                <w:tcPr>
                  <w:tcW w:type="dxa" w:w="1874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7F7F5" w:color="auto" w:val="clear"/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3,276 (+9 improv.)</w:t>
                  </w:r>
                </w:p>
              </w:tc>
              <w:tc>
                <w:tcPr>
                  <w:tcW w:type="dxa" w:w="1561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7F7F5" w:color="auto" w:val="clear"/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12</w:t>
                  </w:r>
                </w:p>
              </w:tc>
            </w:tr>
            <w:tr>
              <w:tc>
                <w:tcPr>
                  <w:tcW w:type="dxa" w:w="1770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V*(S), action at S</w:t>
                  </w:r>
                </w:p>
              </w:tc>
              <w:tc>
                <w:tcPr>
                  <w:tcW w:type="dxa" w:w="1874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−2.038, up</w:t>
                  </w:r>
                </w:p>
              </w:tc>
              <w:tc>
                <w:tcPr>
                  <w:tcW w:type="dxa" w:w="1561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−2.038, up</w:t>
                  </w:r>
                </w:p>
              </w:tc>
            </w:tr>
            <w:tr>
              <w:tc>
                <w:tcPr>
                  <w:tcW w:type="dxa" w:w="1770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7F7F5" w:color="auto" w:val="clear"/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max |V_PI − V_VI|</w:t>
                  </w:r>
                </w:p>
              </w:tc>
              <w:tc>
                <w:tcPr>
                  <w:tcW w:type="dxa" w:w="1874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7F7F5" w:color="auto" w:val="clear"/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0.0</w:t>
                  </w:r>
                </w:p>
              </w:tc>
              <w:tc>
                <w:tcPr>
                  <w:tcW w:type="dxa" w:w="1561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7F7F5" w:color="auto" w:val="clear"/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0.0</w:t>
                  </w:r>
                </w:p>
              </w:tc>
            </w:tr>
          </w:tbl>
          <w:p>
            <w:pPr>
              <w:spacing w:after="9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Table 1.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DP summary (values identical to results.json).</w:t>
            </w:r>
          </w:p>
        </w:tc>
      </w:tr>
    </w:tbl>
    <w:p>
      <w:pPr>
        <w:spacing w:after="20" w:before="40"/>
        <w:jc w:val="center"/>
      </w:pPr>
      <w:r>
        <w:drawing>
          <wp:inline distT="0" distB="0" distL="0" distR="0">
            <wp:extent cx="6286500" cy="21717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line="230"/>
        <w:jc w:val="left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Figure 2 [supp.].</w:t>
      </w:r>
      <w:r>
        <w:rPr>
          <w:rFonts w:ascii="Calibri" w:cs="Calibri" w:eastAsia="Calibri" w:hAnsi="Calibri"/>
          <w:sz w:val="16"/>
          <w:szCs w:val="16"/>
        </w:rPr>
        <w:t xml:space="preserve"> (a) Largest value change per sweep. Each light-to-dark blue curve is one PI evaluation; orange is VI. (b) Evaluation sweeps per PI round and the number of states whose action changed (Δπ).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Why PI rounds 1–6 cost 540 sweeps.</w:t>
      </w:r>
      <w:r>
        <w:rPr>
          <w:rFonts w:ascii="Calibri" w:cs="Calibri" w:eastAsia="Calibri" w:hAnsi="Calibri"/>
          <w:sz w:val="19"/>
          <w:szCs w:val="19"/>
        </w:rPr>
        <w:t xml:space="preserve"> The initial all-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up</w:t>
      </w:r>
      <w:r>
        <w:rPr>
          <w:rFonts w:ascii="Calibri" w:cs="Calibri" w:eastAsia="Calibri" w:hAnsi="Calibri"/>
          <w:sz w:val="19"/>
          <w:szCs w:val="19"/>
        </w:rPr>
        <w:t xml:space="preserve"> policy makes most states bump into a wall or the top border forever, so their value is −1/(1−γ) = −20. For a fixed policy, the evaluation error shrinks only by a factor γ = 0.95 per sweep, and reaching θ = 10⁻¹² needs 0.95ᵏ &lt; 10⁻¹², i.e. k ≈ 539, which is exactly the 540 observed. Each improvement step only re-routes the few states next to already-good states (Δπ = 4–7), so V(S) stays at −20 until round 5. From round 7 every state's path terminates, and evaluation of a deterministic, terminating policy is exact after 12 sweeps.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Why VI needs only 12.</w:t>
      </w:r>
      <w:r>
        <w:rPr>
          <w:rFonts w:ascii="Calibri" w:cs="Calibri" w:eastAsia="Calibri" w:hAnsi="Calibri"/>
          <w:sz w:val="19"/>
          <w:szCs w:val="19"/>
        </w:rPr>
        <w:t xml:space="preserve"> VI applies the max in every sweep, so correct values spread outward from G by one cell per sweep: the largest change follows 10 × 0.95ᵏ (10, 9.5, 9.03, …, 5.99). S is the farthest state at 11 steps, so after 11 sweeps every value is exact and sweep 12 confirms Δ = 0. PI takes few large steps (policy improvement is a Newton-like jump), each paid for by a full evaluation; VI takes many cheap steps. On this small deterministic grid, VI is far cheaper.</w:t>
      </w:r>
    </w:p>
    <w:p>
      <w:pPr>
        <w:pStyle w:val="Heading1"/>
        <w:keepNext/>
        <w:keepLines/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2  The paths learned by SARSA and Q-learning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Q-learning learns the shortest path along the cliff edge; SARSA learns a detour through the top rows.</w:t>
      </w:r>
      <w:r>
        <w:rPr>
          <w:rFonts w:ascii="Calibri" w:cs="Calibri" w:eastAsia="Calibri" w:hAnsi="Calibri"/>
          <w:sz w:val="19"/>
          <w:szCs w:val="19"/>
        </w:rPr>
        <w:t xml:space="preserve"> Q-learning's greedy path runs along row 3, directly above the cliff, on every seed: 11 steps, return −11,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highest_row = 3.0</w:t>
      </w:r>
      <w:r>
        <w:rPr>
          <w:rFonts w:ascii="Calibri" w:cs="Calibri" w:eastAsia="Calibri" w:hAnsi="Calibri"/>
          <w:sz w:val="19"/>
          <w:szCs w:val="19"/>
        </w:rPr>
        <w:t xml:space="preserve">, identical to the DP optimum. SARSA's path climbs to the top of the grid before crossing: 15–17 steps, return −16.6,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highest_row = 0.2</w:t>
      </w:r>
      <w:r>
        <w:rPr>
          <w:rFonts w:ascii="Calibri" w:cs="Calibri" w:eastAsia="Calibri" w:hAnsi="Calibri"/>
          <w:sz w:val="19"/>
          <w:szCs w:val="19"/>
        </w:rPr>
        <w:t xml:space="preserve"> (four seeds reach row 0, one row 1). With 20 seeds the picture is the same (Q-learning 3.0; SARSA rows 0–1 only).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87"/>
        <w:gridCol w:w="5919"/>
      </w:tblGrid>
      <w:tr>
        <w:tc>
          <w:tcPr>
            <w:tcW w:type="dxa" w:w="42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2724150" cy="25146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0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Figure 3.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Greedy path of every seed (0–4), slightly offset. Q-learning: identical on all seeds.</w:t>
            </w:r>
          </w:p>
        </w:tc>
        <w:tc>
          <w:tcPr>
            <w:tcW w:type="dxa" w:w="5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70" w:line="252"/>
              <w:jc w:val="both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two update targets estimate different things. Q-learning's target r + γ·max Q(s′,·) assumes the agent acts greedily from the next step on, so it learns q*, the value of the optimal policy, regardless of the exploration it actually performs (Bellman optimality). SARSA's target r + γ·Q(s′,a′) uses the action the ε-greedy policy actually takes, so it learns q_π for the ε-greedy policy itself (Bellman expectation). On row 3 every step has a 0.1 × ¼ = 2.5 % chance of a random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down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move: −75 and a restart at S. SARSA's values price that risk in; Q-learning's do not.</w:t>
            </w:r>
          </w:p>
          <w:p>
            <w:pPr>
              <w:spacing w:after="70" w:line="252"/>
              <w:jc w:val="both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Figure 4 makes this visible: along row 3 the learned value is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−12.5 for SARSA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but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−5.4 for Q-learning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(= V* exactly), while SARSA rates the top row higher (−10.6), so its greedy policy goes up.</w:t>
            </w:r>
          </w:p>
          <w:p>
            <w:pPr>
              <w:spacing w:after="70" w:line="252"/>
              <w:jc w:val="both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How far up also depends on α.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exact point SARSA converges to, q*_ε (the optimal ε-greedy values, computed from the model), keeps only one row of margin at ε = 0.1: row 2, 13 steps, −13. With α = 0.1 all 20 seeds learn exactly that path. With the spec's α = 0.5 each fall (−75) pulls an estimate halfway towards one catastrophic target, so values near the edge stay too low and SARSA overshoots to rows 0–1 (Table 4).</w:t>
            </w:r>
          </w:p>
        </w:tc>
      </w:tr>
    </w:tbl>
    <w:p>
      <w:pPr>
        <w:spacing w:after="20" w:before="40"/>
        <w:jc w:val="center"/>
      </w:pPr>
      <w:r>
        <w:drawing>
          <wp:inline distT="0" distB="0" distL="0" distR="0">
            <wp:extent cx="6419850" cy="12763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line="230"/>
        <w:jc w:val="left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Figure 4 [supp.].</w:t>
      </w:r>
      <w:r>
        <w:rPr>
          <w:rFonts w:ascii="Calibri" w:cs="Calibri" w:eastAsia="Calibri" w:hAnsi="Calibri"/>
          <w:sz w:val="16"/>
          <w:szCs w:val="16"/>
        </w:rPr>
        <w:t xml:space="preserve"> Learned state values max_a Q(s,a) (mean of seeds 0–4) with the greedy action of seed 0, next to the DP optimum. Q-learning recovers V*; SARSA's values drop sharply near the cliff.</w:t>
      </w:r>
    </w:p>
    <w:p>
      <w:pPr>
        <w:pStyle w:val="Heading1"/>
        <w:keepNext/>
        <w:keepLines/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3  The effect of ε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We trained both algorithms with ε ∈ {0.01, 0.05, 0.1, 0.2, 0.3}, everything else fixed (5 seeds in results_sweep/, repeated with 20 seeds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[supp.]</w:t>
      </w:r>
      <w:r>
        <w:rPr>
          <w:rFonts w:ascii="Calibri" w:cs="Calibri" w:eastAsia="Calibri" w:hAnsi="Calibri"/>
          <w:sz w:val="19"/>
          <w:szCs w:val="19"/>
        </w:rPr>
        <w:t xml:space="preserve">; the conclusions agree, and 20-seed numbers are reported). Besides the three requested quantities we measured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exploration cost</w:t>
      </w:r>
      <w:r>
        <w:rPr>
          <w:rFonts w:ascii="Calibri" w:cs="Calibri" w:eastAsia="Calibri" w:hAnsi="Calibri"/>
          <w:sz w:val="19"/>
          <w:szCs w:val="19"/>
        </w:rPr>
        <w:t xml:space="preserve"> (share of training episodes containing a cliff fall)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greedy stability</w:t>
      </w:r>
      <w:r>
        <w:rPr>
          <w:rFonts w:ascii="Calibri" w:cs="Calibri" w:eastAsia="Calibri" w:hAnsi="Calibri"/>
          <w:sz w:val="19"/>
          <w:szCs w:val="19"/>
        </w:rPr>
        <w:t xml:space="preserve">: at the end of each of the last 500 training episodes, does the greedy policy at that moment reach G?</w:t>
      </w:r>
    </w:p>
    <w:p>
      <w:pPr>
        <w:spacing w:after="20" w:before="40"/>
        <w:jc w:val="center"/>
      </w:pPr>
      <w:r>
        <w:drawing>
          <wp:inline distT="0" distB="0" distL="0" distR="0">
            <wp:extent cx="6419850" cy="14859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line="230"/>
        <w:jc w:val="left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Figure 5 [supp.].</w:t>
      </w:r>
      <w:r>
        <w:rPr>
          <w:rFonts w:ascii="Calibri" w:cs="Calibri" w:eastAsia="Calibri" w:hAnsi="Calibri"/>
          <w:sz w:val="16"/>
          <w:szCs w:val="16"/>
        </w:rPr>
        <w:t xml:space="preserve"> ε sweep, 20 seeds, mean ± 1 std. (c) Final greedy return over runs that reach G; annotations count runs whose final greedy policy never reaches G. (d) Share of late-training greedy snapshots that reach G.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4"/>
        <w:gridCol w:w="1939"/>
        <w:gridCol w:w="2041"/>
        <w:gridCol w:w="1735"/>
        <w:gridCol w:w="2041"/>
        <w:gridCol w:w="1736"/>
      </w:tblGrid>
      <w:tr>
        <w:trPr>
          <w:tblHeader/>
        </w:trPr>
        <w:tc>
          <w:tcPr>
            <w:tcW w:type="dxa" w:w="714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E8EEF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ε</w:t>
            </w:r>
          </w:p>
        </w:tc>
        <w:tc>
          <w:tcPr>
            <w:tcW w:type="dxa" w:w="1939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E8EEF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Training return S / Q</w:t>
            </w:r>
          </w:p>
        </w:tc>
        <w:tc>
          <w:tcPr>
            <w:tcW w:type="dxa" w:w="204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E8EEF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Episodes with fall S / Q</w:t>
            </w:r>
          </w:p>
        </w:tc>
        <w:tc>
          <w:tcPr>
            <w:tcW w:type="dxa" w:w="1735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E8EEF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Final greedy S / Q</w:t>
            </w:r>
          </w:p>
        </w:tc>
        <w:tc>
          <w:tcPr>
            <w:tcW w:type="dxa" w:w="204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E8EEF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SARSA greedy reaches G</w:t>
            </w:r>
          </w:p>
        </w:tc>
        <w:tc>
          <w:tcPr>
            <w:tcW w:type="dxa" w:w="1736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E8EEF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SARSA highest row (median)</w:t>
            </w:r>
          </w:p>
        </w:tc>
      </w:tr>
      <w:tr>
        <w:tc>
          <w:tcPr>
            <w:tcW w:type="dxa" w:w="714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0.01</w:t>
            </w:r>
          </w:p>
        </w:tc>
        <w:tc>
          <w:tcPr>
            <w:tcW w:type="dxa" w:w="1939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−16.5 /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−13.0</w:t>
            </w:r>
          </w:p>
        </w:tc>
        <w:tc>
          <w:tcPr>
            <w:tcW w:type="dxa" w:w="204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0.2 % / 2.3 %</w:t>
            </w:r>
          </w:p>
        </w:tc>
        <w:tc>
          <w:tcPr>
            <w:tcW w:type="dxa" w:w="1735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−16.1 / −11</w:t>
            </w:r>
          </w:p>
        </w:tc>
        <w:tc>
          <w:tcPr>
            <w:tcW w:type="dxa" w:w="204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20/20 · 98.6 %</w:t>
            </w:r>
          </w:p>
        </w:tc>
        <w:tc>
          <w:tcPr>
            <w:tcW w:type="dxa" w:w="1736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714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0.05</w:t>
            </w:r>
          </w:p>
        </w:tc>
        <w:tc>
          <w:tcPr>
            <w:tcW w:type="dxa" w:w="1939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−20.0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/ −21.2</w:t>
            </w:r>
          </w:p>
        </w:tc>
        <w:tc>
          <w:tcPr>
            <w:tcW w:type="dxa" w:w="204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2.4 % / 10.7 %</w:t>
            </w:r>
          </w:p>
        </w:tc>
        <w:tc>
          <w:tcPr>
            <w:tcW w:type="dxa" w:w="1735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−16.3 / −11</w:t>
            </w:r>
          </w:p>
        </w:tc>
        <w:tc>
          <w:tcPr>
            <w:tcW w:type="dxa" w:w="204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20/20 · 94.6 %</w:t>
            </w:r>
          </w:p>
        </w:tc>
        <w:tc>
          <w:tcPr>
            <w:tcW w:type="dxa" w:w="1736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714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</w:t>
            </w:r>
          </w:p>
        </w:tc>
        <w:tc>
          <w:tcPr>
            <w:tcW w:type="dxa" w:w="1939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−23.6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/ −31.8</w:t>
            </w:r>
          </w:p>
        </w:tc>
        <w:tc>
          <w:tcPr>
            <w:tcW w:type="dxa" w:w="204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4.6 % / 19.8 %</w:t>
            </w:r>
          </w:p>
        </w:tc>
        <w:tc>
          <w:tcPr>
            <w:tcW w:type="dxa" w:w="1735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−15.8 / −11</w:t>
            </w:r>
          </w:p>
        </w:tc>
        <w:tc>
          <w:tcPr>
            <w:tcW w:type="dxa" w:w="204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19/20 · 88.0 %</w:t>
            </w:r>
          </w:p>
        </w:tc>
        <w:tc>
          <w:tcPr>
            <w:tcW w:type="dxa" w:w="1736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714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</w:t>
            </w:r>
          </w:p>
        </w:tc>
        <w:tc>
          <w:tcPr>
            <w:tcW w:type="dxa" w:w="1939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−34.4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/ −56.8</w:t>
            </w:r>
          </w:p>
        </w:tc>
        <w:tc>
          <w:tcPr>
            <w:tcW w:type="dxa" w:w="204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10.7 % / 34.6 %</w:t>
            </w:r>
          </w:p>
        </w:tc>
        <w:tc>
          <w:tcPr>
            <w:tcW w:type="dxa" w:w="1735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−16.9 / −11</w:t>
            </w:r>
          </w:p>
        </w:tc>
        <w:tc>
          <w:tcPr>
            <w:tcW w:type="dxa" w:w="204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19/20 · 71.8 %</w:t>
            </w:r>
          </w:p>
        </w:tc>
        <w:tc>
          <w:tcPr>
            <w:tcW w:type="dxa" w:w="1736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714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</w:t>
            </w:r>
          </w:p>
        </w:tc>
        <w:tc>
          <w:tcPr>
            <w:tcW w:type="dxa" w:w="1939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−46.6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/ −85.5</w:t>
            </w:r>
          </w:p>
        </w:tc>
        <w:tc>
          <w:tcPr>
            <w:tcW w:type="dxa" w:w="204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18.2 % / 46.5 %</w:t>
            </w:r>
          </w:p>
        </w:tc>
        <w:tc>
          <w:tcPr>
            <w:tcW w:type="dxa" w:w="1735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−16.9 / −11</w:t>
            </w:r>
          </w:p>
        </w:tc>
        <w:tc>
          <w:tcPr>
            <w:tcW w:type="dxa" w:w="2041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15/20 · 60.6 %</w:t>
            </w:r>
          </w:p>
        </w:tc>
        <w:tc>
          <w:tcPr>
            <w:tcW w:type="dxa" w:w="1736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</w:tbl>
    <w:p>
      <w:pPr>
        <w:spacing w:after="90" w:line="230"/>
        <w:jc w:val="left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Table 2 [supp.].</w:t>
      </w:r>
      <w:r>
        <w:rPr>
          <w:rFonts w:ascii="Calibri" w:cs="Calibri" w:eastAsia="Calibri" w:hAnsi="Calibri"/>
          <w:sz w:val="16"/>
          <w:szCs w:val="16"/>
        </w:rPr>
        <w:t xml:space="preserve"> 20 seeds; S = SARSA, Q = Q-learning; bold = better training return. Q-learning's greedy policy reaches G on 20/20 seeds and in 100 % of snapshots at every ε. Final greedy S averages runs that reach G; failures are analysed in Table 4.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Exploration.</w:t>
      </w:r>
      <w:r>
        <w:rPr>
          <w:rFonts w:ascii="Calibri" w:cs="Calibri" w:eastAsia="Calibri" w:hAnsi="Calibri"/>
          <w:sz w:val="19"/>
          <w:szCs w:val="19"/>
        </w:rPr>
        <w:t xml:space="preserve"> Larger ε means more random actions and more falls, but the cost depends on where the agent walks: Q-learning, on the edge, falls in 2.3 % → 46.5 % of episodes as ε goes from 0.01 to 0.3; SARSA, away from the edge, in only 0.2 % → 18.2 %.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Training return</w:t>
      </w:r>
      <w:r>
        <w:rPr>
          <w:rFonts w:ascii="Calibri" w:cs="Calibri" w:eastAsia="Calibri" w:hAnsi="Calibri"/>
          <w:sz w:val="19"/>
          <w:szCs w:val="19"/>
        </w:rPr>
        <w:t xml:space="preserve"> therefore drops for both, much faster for Q-learning (−13.0 → −85.5 vs −16.5 → −46.6). The ranking even reverses: at ε = 0.01 Q-learning trains better (−13.0 vs −16.5), at 0.05 they are equal, and from 0.1 on SARSA is better (Figure 6).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Final greedy evaluation</w:t>
      </w:r>
      <w:r>
        <w:rPr>
          <w:rFonts w:ascii="Calibri" w:cs="Calibri" w:eastAsia="Calibri" w:hAnsi="Calibri"/>
          <w:sz w:val="19"/>
          <w:szCs w:val="19"/>
        </w:rPr>
        <w:t xml:space="preserve"> separates the methods sharply. Q-learning's greedy policy is optimal (−11) at every ε and seed: its target does not depend on ε, and in this deterministic task its estimates converge to q* even with a constant α. SARSA's greedy path stays on the safe detour at every ε, and it becomes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less reliable</w:t>
      </w:r>
      <w:r>
        <w:rPr>
          <w:rFonts w:ascii="Calibri" w:cs="Calibri" w:eastAsia="Calibri" w:hAnsi="Calibri"/>
          <w:sz w:val="19"/>
          <w:szCs w:val="19"/>
        </w:rPr>
        <w:t xml:space="preserve"> as ε grows: the share of late snapshots whose greedy policy reaches G falls from 98.6 % to 60.6 %, and 5 of 20 final policies fail at ε = 0.3.</w:t>
      </w:r>
    </w:p>
    <w:p>
      <w:pPr>
        <w:spacing w:after="20" w:before="40"/>
        <w:jc w:val="center"/>
      </w:pPr>
      <w:r>
        <w:drawing>
          <wp:inline distT="0" distB="0" distL="0" distR="0">
            <wp:extent cx="6419850" cy="12001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line="230"/>
        <w:jc w:val="left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Figure 6 [supp.].</w:t>
      </w:r>
      <w:r>
        <w:rPr>
          <w:rFonts w:ascii="Calibri" w:cs="Calibri" w:eastAsia="Calibri" w:hAnsi="Calibri"/>
          <w:sz w:val="16"/>
          <w:szCs w:val="16"/>
        </w:rPr>
        <w:t xml:space="preserve"> Training return (50-episode moving average, 20 seeds) per ε. Dashed: optimal −11. The SARSA–Q-learning gap opens as ε grows.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Are these failures a bug?</w:t>
      </w:r>
      <w:r>
        <w:rPr>
          <w:rFonts w:ascii="Calibri" w:cs="Calibri" w:eastAsia="Calibri" w:hAnsi="Calibri"/>
          <w:sz w:val="19"/>
          <w:szCs w:val="19"/>
        </w:rPr>
        <w:t xml:space="preserve"> The spec warns that a greedy policy that fails to reach G indicates a bug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at convergence</w:t>
      </w:r>
      <w:r>
        <w:rPr>
          <w:rFonts w:ascii="Calibri" w:cs="Calibri" w:eastAsia="Calibri" w:hAnsi="Calibri"/>
          <w:sz w:val="19"/>
          <w:szCs w:val="19"/>
        </w:rPr>
        <w:t xml:space="preserve">, so we tested whether SARSA had converged (Table 4). (i) Its convergence target q*_ε, solved exactly from the model, has a greedy policy that reaches G at every ε. (ii) On the same seeds, a smaller (α = 0.1) or decaying step size removes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every</w:t>
      </w:r>
      <w:r>
        <w:rPr>
          <w:rFonts w:ascii="Calibri" w:cs="Calibri" w:eastAsia="Calibri" w:hAnsi="Calibri"/>
          <w:sz w:val="19"/>
          <w:szCs w:val="19"/>
        </w:rPr>
        <w:t xml:space="preserve"> failure (0/20 at all ε) and makes the greedy policy stable in 98–100 % of snapshots, and α = 0.1 lands exactly on q*_ε's path at ε = 0.1. (iii) The code matches a reference SARSA bit for bit. With α = 0.5, SARSA's target samples a′ from the exploring policy (a random a′ near the cliff is worth about −100) and each sample moves Q halfway, so Q never settles and near-tied actions keep swapping, which occasionally creates a loop (e.g. ε = 0.2, seed 3: Q(S, up) = −24.02 &lt; Q(S, down) = −23.85, and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down</w:t>
      </w:r>
      <w:r>
        <w:rPr>
          <w:rFonts w:ascii="Calibri" w:cs="Calibri" w:eastAsia="Calibri" w:hAnsi="Calibri"/>
          <w:sz w:val="19"/>
          <w:szCs w:val="19"/>
        </w:rPr>
        <w:t xml:space="preserve"> bumps the border). The failures are therefore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non-convergence under the prescribed constant α</w:t>
      </w:r>
      <w:r>
        <w:rPr>
          <w:rFonts w:ascii="Calibri" w:cs="Calibri" w:eastAsia="Calibri" w:hAnsi="Calibri"/>
          <w:sz w:val="19"/>
          <w:szCs w:val="19"/>
        </w:rPr>
        <w:t xml:space="preserve">, not an implementation error. Q-learning is unaffected because its max-target involves no sampled action, so in this deterministic task it converges to q* even with α = 0.5. All graded runs (ε = 0.1, seeds 0–4) reach G.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4"/>
        <w:gridCol w:w="1939"/>
        <w:gridCol w:w="2552"/>
        <w:gridCol w:w="2449"/>
        <w:gridCol w:w="2552"/>
      </w:tblGrid>
      <w:tr>
        <w:trPr>
          <w:tblHeader/>
        </w:trPr>
        <w:tc>
          <w:tcPr>
            <w:tcW w:type="dxa" w:w="714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E8EEF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ε</w:t>
            </w:r>
          </w:p>
        </w:tc>
        <w:tc>
          <w:tcPr>
            <w:tcW w:type="dxa" w:w="1939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E8EEF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Converged target q∗_ε: path</w:t>
            </w:r>
          </w:p>
        </w:tc>
        <w:tc>
          <w:tcPr>
            <w:tcW w:type="dxa" w:w="2552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E8EEF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SARSA α = 0.5 (spec): fails · stable · rows</w:t>
            </w:r>
          </w:p>
        </w:tc>
        <w:tc>
          <w:tcPr>
            <w:tcW w:type="dxa" w:w="2449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E8EEF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SARSA α = 0.1: fails · stable · rows</w:t>
            </w:r>
          </w:p>
        </w:tc>
        <w:tc>
          <w:tcPr>
            <w:tcW w:type="dxa" w:w="2552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E8EEF7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SARSA α = 0.5/(1+n/50): fails · stable · rows</w:t>
            </w:r>
          </w:p>
        </w:tc>
      </w:tr>
      <w:tr>
        <w:tc>
          <w:tcPr>
            <w:tcW w:type="dxa" w:w="714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0.01</w:t>
            </w:r>
          </w:p>
        </w:tc>
        <w:tc>
          <w:tcPr>
            <w:tcW w:type="dxa" w:w="1939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row 3, −11 (edge)</w:t>
            </w:r>
          </w:p>
        </w:tc>
        <w:tc>
          <w:tcPr>
            <w:tcW w:type="dxa" w:w="2552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0/20 · 98.6 % · 0–1</w:t>
            </w:r>
          </w:p>
        </w:tc>
        <w:tc>
          <w:tcPr>
            <w:tcW w:type="dxa" w:w="2449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0/20 · 99.7 % · 2–3</w:t>
            </w:r>
          </w:p>
        </w:tc>
        <w:tc>
          <w:tcPr>
            <w:tcW w:type="dxa" w:w="2552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0/20 · 100 % · 1–2</w:t>
            </w:r>
          </w:p>
        </w:tc>
      </w:tr>
      <w:tr>
        <w:tc>
          <w:tcPr>
            <w:tcW w:type="dxa" w:w="714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</w:t>
            </w:r>
          </w:p>
        </w:tc>
        <w:tc>
          <w:tcPr>
            <w:tcW w:type="dxa" w:w="1939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row 2, −13</w:t>
            </w:r>
          </w:p>
        </w:tc>
        <w:tc>
          <w:tcPr>
            <w:tcW w:type="dxa" w:w="2552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1/20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· 88.0 % · 0–1</w:t>
            </w:r>
          </w:p>
        </w:tc>
        <w:tc>
          <w:tcPr>
            <w:tcW w:type="dxa" w:w="2449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0/20 · 99.8 % ·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2 (all)</w:t>
            </w:r>
          </w:p>
        </w:tc>
        <w:tc>
          <w:tcPr>
            <w:tcW w:type="dxa" w:w="2552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0/20 · 100 % · 1–2</w:t>
            </w:r>
          </w:p>
        </w:tc>
      </w:tr>
      <w:tr>
        <w:tc>
          <w:tcPr>
            <w:tcW w:type="dxa" w:w="714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</w:t>
            </w:r>
          </w:p>
        </w:tc>
        <w:tc>
          <w:tcPr>
            <w:tcW w:type="dxa" w:w="1939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row 2, −13</w:t>
            </w:r>
          </w:p>
        </w:tc>
        <w:tc>
          <w:tcPr>
            <w:tcW w:type="dxa" w:w="2552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1/20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· 71.8 % · 0–1</w:t>
            </w:r>
          </w:p>
        </w:tc>
        <w:tc>
          <w:tcPr>
            <w:tcW w:type="dxa" w:w="2449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0/20 · 99.5 % · 1–2</w:t>
            </w:r>
          </w:p>
        </w:tc>
        <w:tc>
          <w:tcPr>
            <w:tcW w:type="dxa" w:w="2552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0/20 · 100 % · 1</w:t>
            </w:r>
          </w:p>
        </w:tc>
      </w:tr>
      <w:tr>
        <w:tc>
          <w:tcPr>
            <w:tcW w:type="dxa" w:w="714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</w:t>
            </w:r>
          </w:p>
        </w:tc>
        <w:tc>
          <w:tcPr>
            <w:tcW w:type="dxa" w:w="1939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row 1, −15</w:t>
            </w:r>
          </w:p>
        </w:tc>
        <w:tc>
          <w:tcPr>
            <w:tcW w:type="dxa" w:w="2552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5/20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· 60.6 % · 0–1</w:t>
            </w:r>
          </w:p>
        </w:tc>
        <w:tc>
          <w:tcPr>
            <w:tcW w:type="dxa" w:w="2449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0/20 · 97.9 % · 0–2</w:t>
            </w:r>
          </w:p>
        </w:tc>
        <w:tc>
          <w:tcPr>
            <w:tcW w:type="dxa" w:w="2552"/>
            <w:tcBorders>
              <w:top w:val="single" w:color="BFBFBF" w:sz="4"/>
              <w:left w:val="none" w:color="FFFFFF" w:sz="0"/>
              <w:bottom w:val="single" w:color="BFBFBF" w:sz="4"/>
              <w:right w:val="none" w:color="FFFFFF" w:sz="0"/>
            </w:tcBorders>
            <w:shd w:fill="F7F7F5" w:color="auto" w:val="clear"/>
            <w:tcMar>
              <w:top w:type="dxa" w:w="15"/>
              <w:left w:type="dxa" w:w="50"/>
              <w:bottom w:type="dxa" w:w="1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0/20 · 100 % · 1</w:t>
            </w:r>
          </w:p>
        </w:tc>
      </w:tr>
    </w:tbl>
    <w:p>
      <w:pPr>
        <w:spacing w:after="90" w:line="230"/>
        <w:jc w:val="left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Table 4 [supp.].</w:t>
      </w:r>
      <w:r>
        <w:rPr>
          <w:rFonts w:ascii="Calibri" w:cs="Calibri" w:eastAsia="Calibri" w:hAnsi="Calibri"/>
          <w:sz w:val="16"/>
          <w:szCs w:val="16"/>
        </w:rPr>
        <w:t xml:space="preserve"> Diagnosis of SARSA's greedy failures (20 seeds, 3,000 episodes). fails = final greedy policy never reaches G; stable = share of the last 500 greedy snapshots that reach G; rows = highest rows of the final greedy paths. n = visits to (s,a).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Small ε has a cost too: too little exploration.</w:t>
      </w:r>
      <w:r>
        <w:rPr>
          <w:rFonts w:ascii="Calibri" w:cs="Calibri" w:eastAsia="Calibri" w:hAnsi="Calibri"/>
          <w:sz w:val="19"/>
          <w:szCs w:val="19"/>
        </w:rPr>
        <w:t xml:space="preserve"> At ε = 0.01 the edge path is also optimal for SARSA's own objective: q*_ε is the edge path (Table 4), and executing Q-learning's policy with ε = 0.01 yields −12.8 versus −17.0 for SARSA's (Figure 8). Yet SARSA does not find it: in a 20,000-episode run at ε = 0.01 (Figure 9c), the greedy path drifts from row 0 to rows 1–2 at best (one seed reaches row 2 and −13) but never reaches the edge. Early episodes, with Q initialised at 0, fall off the cliff many times, so the edge actions start with very negative values; with ε = 0.01 they are almost never tried again, so those early estimates are not corrected (even with α = 0.1, only 1 of 20 seeds reaches the edge).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In short, ε trades training cost against discovery and, for SARSA, against greedy reliability.</w:t>
      </w:r>
    </w:p>
    <w:p>
      <w:pPr>
        <w:pStyle w:val="Heading1"/>
        <w:keepNext/>
        <w:keepLines/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4  Worse training return, better greedy return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99"/>
        <w:gridCol w:w="5307"/>
      </w:tblGrid>
      <w:tr>
        <w:tc>
          <w:tcPr>
            <w:tcW w:type="dxa" w:w="48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20" w:before="40"/>
              <w:jc w:val="center"/>
            </w:pPr>
            <w:r>
              <w:drawing>
                <wp:inline distT="0" distB="0" distL="0" distR="0">
                  <wp:extent cx="3048000" cy="1628775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Figure 7.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Training return at ε = 0.1, mean ± 1 std over seeds 0–4 (50-episode moving average; y-axis clipped at −100). Labels: raw last-500 means, as in results.json.</w:t>
            </w:r>
          </w:p>
        </w:tc>
        <w:tc>
          <w:tcPr>
            <w:tcW w:type="dxa" w:w="53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70" w:line="252"/>
              <w:jc w:val="both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Both facts hold because each algorithm optimises the return of a different policy.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At the spec settings (ε = 0.1, seeds 0–4), Q-learning's training return is worse (−31.7 vs −23.2) while its greedy return is better (−11 vs −16.6). The training return measures the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ε-greedy behaviour policy while it learns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the greedy return measures the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learned policy with exploration switched off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70" w:line="252"/>
              <w:jc w:val="both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 separate the two effects we froze each learned Q and executed its policy, without learning, at different ε (Table 3, Figure 8). Executed with ε = 0.1, SARSA's policy earns −20.9 and Q-learning's −31.7, which is the same as the DP-optimal policy executed ε-greedily (−31.8). Executed greedily, the order flips (−16.6 vs −11.0). The lines cross near ε ≈ 0.04.</w:t>
            </w:r>
          </w:p>
          <w:tbl>
            <w:tblPr>
              <w:tblW w:type="dxa" w:w="5205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15"/>
              <w:gridCol w:w="1145"/>
              <w:gridCol w:w="1145"/>
            </w:tblGrid>
            <w:tr>
              <w:trPr>
                <w:tblHeader/>
              </w:trPr>
              <w:tc>
                <w:tcPr>
                  <w:tcW w:type="dxa" w:w="2915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8EEF7" w:color="auto" w:val="clear"/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1145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8EEF7" w:color="auto" w:val="clear"/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SARSA</w:t>
                  </w:r>
                </w:p>
              </w:tc>
              <w:tc>
                <w:tcPr>
                  <w:tcW w:type="dxa" w:w="1145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E8EEF7" w:color="auto" w:val="clear"/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Q-learning</w:t>
                  </w:r>
                </w:p>
              </w:tc>
            </w:tr>
            <w:tr>
              <w:tc>
                <w:tcPr>
                  <w:tcW w:type="dxa" w:w="2915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Training return (ε = 0.1, learning)</w:t>
                  </w:r>
                </w:p>
              </w:tc>
              <w:tc>
                <w:tcPr>
                  <w:tcW w:type="dxa" w:w="1145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−23.2</w:t>
                  </w:r>
                </w:p>
              </w:tc>
              <w:tc>
                <w:tcPr>
                  <w:tcW w:type="dxa" w:w="1145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−31.7</w:t>
                  </w:r>
                </w:p>
              </w:tc>
            </w:tr>
            <w:tr>
              <w:tc>
                <w:tcPr>
                  <w:tcW w:type="dxa" w:w="2915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7F7F5" w:color="auto" w:val="clear"/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Policy run at ε = 0.1, no learning</w:t>
                  </w:r>
                </w:p>
              </w:tc>
              <w:tc>
                <w:tcPr>
                  <w:tcW w:type="dxa" w:w="1145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7F7F5" w:color="auto" w:val="clear"/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−20.9</w:t>
                  </w:r>
                </w:p>
              </w:tc>
              <w:tc>
                <w:tcPr>
                  <w:tcW w:type="dxa" w:w="1145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7F7F5" w:color="auto" w:val="clear"/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−31.7</w:t>
                  </w:r>
                </w:p>
              </w:tc>
            </w:tr>
            <w:tr>
              <w:tc>
                <w:tcPr>
                  <w:tcW w:type="dxa" w:w="2915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Cliff falls per episode at ε = 0.1</w:t>
                  </w:r>
                </w:p>
              </w:tc>
              <w:tc>
                <w:tcPr>
                  <w:tcW w:type="dxa" w:w="1145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0.03</w:t>
                  </w:r>
                </w:p>
              </w:tc>
              <w:tc>
                <w:tcPr>
                  <w:tcW w:type="dxa" w:w="1145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0.24</w:t>
                  </w:r>
                </w:p>
              </w:tc>
            </w:tr>
            <w:tr>
              <w:tc>
                <w:tcPr>
                  <w:tcW w:type="dxa" w:w="2915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7F7F5" w:color="auto" w:val="clear"/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Greedy return (ε = 0)</w:t>
                  </w:r>
                </w:p>
              </w:tc>
              <w:tc>
                <w:tcPr>
                  <w:tcW w:type="dxa" w:w="1145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7F7F5" w:color="auto" w:val="clear"/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−16.6</w:t>
                  </w:r>
                </w:p>
              </w:tc>
              <w:tc>
                <w:tcPr>
                  <w:tcW w:type="dxa" w:w="1145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shd w:fill="F7F7F5" w:color="auto" w:val="clear"/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6"/>
                      <w:szCs w:val="16"/>
                    </w:rPr>
                    <w:t xml:space="preserve">−11.0</w:t>
                  </w:r>
                </w:p>
              </w:tc>
            </w:tr>
            <w:tr>
              <w:tc>
                <w:tcPr>
                  <w:tcW w:type="dxa" w:w="2915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highest_row</w:t>
                  </w:r>
                </w:p>
              </w:tc>
              <w:tc>
                <w:tcPr>
                  <w:tcW w:type="dxa" w:w="1145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0.2</w:t>
                  </w:r>
                </w:p>
              </w:tc>
              <w:tc>
                <w:tcPr>
                  <w:tcW w:type="dxa" w:w="1145"/>
                  <w:tcBorders>
                    <w:top w:val="single" w:color="BFBFBF" w:sz="4"/>
                    <w:left w:val="none" w:color="FFFFFF" w:sz="0"/>
                    <w:bottom w:val="single" w:color="BFBFBF" w:sz="4"/>
                    <w:right w:val="none" w:color="FFFFFF" w:sz="0"/>
                  </w:tcBorders>
                  <w:tcMar>
                    <w:top w:type="dxa" w:w="15"/>
                    <w:left w:type="dxa" w:w="50"/>
                    <w:bottom w:type="dxa" w:w="15"/>
                    <w:right w:type="dxa" w:w="5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3.0</w:t>
                  </w:r>
                </w:p>
              </w:tc>
            </w:tr>
          </w:tbl>
          <w:p>
            <w:pPr>
              <w:spacing w:after="9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Table 3.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 Seeds 0–4; frozen-policy rows [supp.] are averages of 2,000 episodes per seed.</w:t>
            </w:r>
          </w:p>
        </w:tc>
      </w:tr>
    </w:tbl>
    <w:p>
      <w:pPr>
        <w:spacing w:after="20" w:before="40"/>
        <w:jc w:val="center"/>
      </w:pPr>
      <w:r>
        <w:drawing>
          <wp:inline distT="0" distB="0" distL="0" distR="0">
            <wp:extent cx="6286500" cy="21145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line="230"/>
        <w:jc w:val="left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Figure 8 [supp.].</w:t>
      </w:r>
      <w:r>
        <w:rPr>
          <w:rFonts w:ascii="Calibri" w:cs="Calibri" w:eastAsia="Calibri" w:hAnsi="Calibri"/>
          <w:sz w:val="16"/>
          <w:szCs w:val="16"/>
        </w:rPr>
        <w:t xml:space="preserve"> Frozen policies (trained at ε = 0.1) executed at different ε without learning. (a) Return; dashed: DP-optimal policy. (b) Cliff falls per episode.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What each algorithm is estimating.</w:t>
      </w:r>
      <w:r>
        <w:rPr>
          <w:rFonts w:ascii="Calibri" w:cs="Calibri" w:eastAsia="Calibri" w:hAnsi="Calibri"/>
          <w:sz w:val="19"/>
          <w:szCs w:val="19"/>
        </w:rPr>
        <w:t xml:space="preserve"> Q-learning is off-policy: it estimates q*, the value of acting optimally, which assumes no future random moves. Its greedy policy is therefore optimal once exploration stops, but during training that policy is executed ε-greedily on the most dangerous route, with about 0.24 cliff falls per episode. SARSA is on-policy: it estimates q_π of the ε-greedy policy it actually runs, including its random moves. It therefore converges towards the policy that is best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given that it keeps exploring</w:t>
      </w:r>
      <w:r>
        <w:rPr>
          <w:rFonts w:ascii="Calibri" w:cs="Calibri" w:eastAsia="Calibri" w:hAnsi="Calibri"/>
          <w:sz w:val="19"/>
          <w:szCs w:val="19"/>
        </w:rPr>
        <w:t xml:space="preserve">, which is a safer route with fewer falls and a better training return, but not the greedy optimum. Neither is wrong; they answer different questions, and the right choice depends on whether exploration continues when the policy is used.</w:t>
      </w:r>
    </w:p>
    <w:p>
      <w:pPr>
        <w:spacing w:after="20" w:before="40"/>
        <w:jc w:val="center"/>
      </w:pPr>
      <w:r>
        <w:drawing>
          <wp:inline distT="0" distB="0" distL="0" distR="0">
            <wp:extent cx="6419850" cy="15240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line="230"/>
        <w:jc w:val="left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Figure 9 [supp.].</w:t>
      </w:r>
      <w:r>
        <w:rPr>
          <w:rFonts w:ascii="Calibri" w:cs="Calibri" w:eastAsia="Calibri" w:hAnsi="Calibri"/>
          <w:sz w:val="16"/>
          <w:szCs w:val="16"/>
        </w:rPr>
        <w:t xml:space="preserve"> (a, b) ε decayed linearly from 0.1 to 0 over the first 2,400 of 3,000 episodes, 20 seeds. Labels in (b): mean highest row. (c) SARSA's highest row during a 20,000-episode run at ε = 0.01 (gaps: greedy policy does not reach G).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Removing exploration removes the training gap.</w:t>
      </w:r>
      <w:r>
        <w:rPr>
          <w:rFonts w:ascii="Calibri" w:cs="Calibri" w:eastAsia="Calibri" w:hAnsi="Calibri"/>
          <w:sz w:val="19"/>
          <w:szCs w:val="19"/>
        </w:rPr>
        <w:t xml:space="preserve"> With ε decayed to 0 (Figure 9), Q-learning's training return converges to the optimum −11, so training return equals greedy return. SARSA's also equals its greedy return (−16.3, 20/20 seeds stable) but stays on the safe detour (highest row 0.35). Theory guarantees SARSA reaches the optimum only under GLIE exploration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and</w:t>
      </w:r>
      <w:r>
        <w:rPr>
          <w:rFonts w:ascii="Calibri" w:cs="Calibri" w:eastAsia="Calibri" w:hAnsi="Calibri"/>
          <w:sz w:val="19"/>
          <w:szCs w:val="19"/>
        </w:rPr>
        <w:t xml:space="preserve"> decreasing step sizes (Singh et al., 2000). With a constant α = 0.5 and a finite budget, its early pessimism about the edge is locked in, as the 20,000-episode run also shows.</w:t>
      </w:r>
    </w:p>
    <w:p>
      <w:pPr>
        <w:pStyle w:val="Heading1"/>
        <w:keepNext/>
        <w:keepLines/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  Conclusions</w:t>
      </w:r>
    </w:p>
    <w:p>
      <w:pPr>
        <w:pStyle w:val="ListParagraph"/>
        <w:numPr>
          <w:ilvl w:val="0"/>
          <w:numId w:val="2"/>
        </w:numPr>
        <w:spacing w:after="35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DP:</w:t>
      </w:r>
      <w:r>
        <w:rPr>
          <w:rFonts w:ascii="Calibri" w:cs="Calibri" w:eastAsia="Calibri" w:hAnsi="Calibri"/>
          <w:sz w:val="19"/>
          <w:szCs w:val="19"/>
        </w:rPr>
        <w:t xml:space="preserve"> PI and VI give identical V* and policies. VI needs 12 sweeps; PI needs 9 rounds but 3,276 evaluation sweeps, because early policies loop and evaluation converges only at rate γ.</w:t>
      </w:r>
    </w:p>
    <w:p>
      <w:pPr>
        <w:pStyle w:val="ListParagraph"/>
        <w:numPr>
          <w:ilvl w:val="0"/>
          <w:numId w:val="2"/>
        </w:numPr>
        <w:spacing w:after="35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On- vs off-policy:</w:t>
      </w:r>
      <w:r>
        <w:rPr>
          <w:rFonts w:ascii="Calibri" w:cs="Calibri" w:eastAsia="Calibri" w:hAnsi="Calibri"/>
          <w:sz w:val="19"/>
          <w:szCs w:val="19"/>
        </w:rPr>
        <w:t xml:space="preserve"> Q-learning learns q* and the edge path (highest_row 3, return −11). SARSA learns the value of its ε-greedy behaviour, prices in the 2.5 % per-step fall risk, and takes a detour (highest_row ≈ 0, −16.6). Its converged target keeps one row of margin (row 2, −13); the extra distance comes from the large constant α.</w:t>
      </w:r>
    </w:p>
    <w:p>
      <w:pPr>
        <w:pStyle w:val="ListParagraph"/>
        <w:numPr>
          <w:ilvl w:val="0"/>
          <w:numId w:val="2"/>
        </w:numPr>
        <w:spacing w:after="35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ε:</w:t>
      </w:r>
      <w:r>
        <w:rPr>
          <w:rFonts w:ascii="Calibri" w:cs="Calibri" w:eastAsia="Calibri" w:hAnsi="Calibri"/>
          <w:sz w:val="19"/>
          <w:szCs w:val="19"/>
        </w:rPr>
        <w:t xml:space="preserve"> higher ε raises falls and lowers training return, far more for Q-learning, and makes SARSA's greedy policy unstable (98.6 % → 60.6 % reliable). This is non-convergence under α = 0.5, not a bug: with a smaller or decaying α, failures drop to 0/20. Very small ε reverses the training-return ranking and starves SARSA of the exploration it needs to revise early estimates.</w:t>
      </w:r>
    </w:p>
    <w:p>
      <w:pPr>
        <w:pStyle w:val="ListParagraph"/>
        <w:numPr>
          <w:ilvl w:val="0"/>
          <w:numId w:val="2"/>
        </w:numPr>
        <w:spacing w:after="35" w:line="252"/>
        <w:jc w:val="both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Training vs greedy:</w:t>
      </w:r>
      <w:r>
        <w:rPr>
          <w:rFonts w:ascii="Calibri" w:cs="Calibri" w:eastAsia="Calibri" w:hAnsi="Calibri"/>
          <w:sz w:val="19"/>
          <w:szCs w:val="19"/>
        </w:rPr>
        <w:t xml:space="preserve"> SARSA wins while exploring (−20.9 vs −31.7 at ε = 0.1), Q-learning wins without exploration (−11.0 vs −16.6). The crossover is at ε ≈ 0.04.</w:t>
      </w:r>
    </w:p>
    <w:p>
      <w:pPr>
        <w:spacing w:after="0" w:line="252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Limitations.</w:t>
      </w:r>
      <w:r>
        <w:rPr>
          <w:rFonts w:ascii="Calibri" w:cs="Calibri" w:eastAsia="Calibri" w:hAnsi="Calibri"/>
          <w:sz w:val="17"/>
          <w:szCs w:val="17"/>
        </w:rPr>
        <w:t xml:space="preserve"> Graded results use 5 seeds (the supplementary runs use 20). The prescribed constant α = 0.5 prevents SARSA from converging, so its final greedy policy is a snapshot of a moving estimate (Table 4). All findings are from one small deterministic environment. 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Reference:</w:t>
      </w:r>
      <w:r>
        <w:rPr>
          <w:rFonts w:ascii="Calibri" w:cs="Calibri" w:eastAsia="Calibri" w:hAnsi="Calibri"/>
          <w:sz w:val="17"/>
          <w:szCs w:val="17"/>
        </w:rPr>
        <w:t xml:space="preserve"> Sutton &amp; Barto (2018), 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Reinforcement Learning: An Introduction</w:t>
      </w:r>
      <w:r>
        <w:rPr>
          <w:rFonts w:ascii="Calibri" w:cs="Calibri" w:eastAsia="Calibri" w:hAnsi="Calibri"/>
          <w:sz w:val="17"/>
          <w:szCs w:val="17"/>
        </w:rPr>
        <w:t xml:space="preserve">, 2nd ed., Ex. 6.6; Singh, Jaakkola, Littman &amp; Szepesvári (2000), 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Machine Learning</w:t>
      </w:r>
      <w:r>
        <w:rPr>
          <w:rFonts w:ascii="Calibri" w:cs="Calibri" w:eastAsia="Calibri" w:hAnsi="Calibri"/>
          <w:sz w:val="17"/>
          <w:szCs w:val="17"/>
        </w:rPr>
        <w:t xml:space="preserve"> 38:287–308.</w:t>
      </w:r>
    </w:p>
    <w:sectPr>
      <w:footerReference w:type="default" r:id="rId6"/>
      <w:pgSz w:w="11906" w:h="16838" w:orient="portrait"/>
      <w:pgMar w:top="760" w:right="850" w:bottom="760" w:left="850" w:header="708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994d7dd5954ab8899ed1ba781460fe0fac8d5bc.png"/><Relationship Id="rId9" Type="http://schemas.openxmlformats.org/officeDocument/2006/relationships/image" Target="media/12ed27b7ec454ad879923179bf8a41950cc21eae.png"/><Relationship Id="rId10" Type="http://schemas.openxmlformats.org/officeDocument/2006/relationships/image" Target="media/1b0e35ef75503df49da47e648b14d3902bdca8cd.png"/><Relationship Id="rId11" Type="http://schemas.openxmlformats.org/officeDocument/2006/relationships/image" Target="media/cda8e20087afe9dc1af36023922ded698e1fa160.png"/><Relationship Id="rId12" Type="http://schemas.openxmlformats.org/officeDocument/2006/relationships/image" Target="media/7b82a3164d349cbc76904e55f0ee25001081be2b.png"/><Relationship Id="rId13" Type="http://schemas.openxmlformats.org/officeDocument/2006/relationships/image" Target="media/99f947e86e31b45b88ac9c82580c520d5b22f6b3.png"/><Relationship Id="rId14" Type="http://schemas.openxmlformats.org/officeDocument/2006/relationships/image" Target="media/ac7cf79bc1e5cb7a2b60231ec1f2019b70f59d8e.png"/><Relationship Id="rId15" Type="http://schemas.openxmlformats.org/officeDocument/2006/relationships/image" Target="media/600eaac3cd887f91aa99c1c6b1adee9e3d86b716.png"/><Relationship Id="rId16" Type="http://schemas.openxmlformats.org/officeDocument/2006/relationships/image" Target="media/7df2ec12dc5eab4d6b7ed2a27a51e56b083eaa0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PA1 report</dc:title>
  <dc:creator>PA1</dc:creator>
  <cp:lastModifiedBy>Un-named</cp:lastModifiedBy>
  <cp:revision>1</cp:revision>
  <dcterms:created xsi:type="dcterms:W3CDTF">2026-10-04T13:07:52.146Z</dcterms:created>
  <dcterms:modified xsi:type="dcterms:W3CDTF">2026-10-04T13:07:52.147Z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