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34"/>
        </w:rPr>
        <w:t>PA1: From Bellman Updates to TD Control</w:t>
      </w:r>
    </w:p>
    <w:p>
      <w:pPr>
        <w:spacing w:after="120"/>
        <w:jc w:val="left"/>
        <w:pBdr>
          <w:bottom w:val="single" w:sz="6" w:space="4" w:color="1F3864"/>
        </w:pBdr>
      </w:pPr>
      <w:r>
        <w:rPr>
          <w:color w:val="52514E"/>
          <w:sz w:val="20"/>
        </w:rPr>
        <w:t>Seher Kanwal  ·  Student ID  ·  Reinforcement Learning (Graduate)  ·  October 2026</w:t>
      </w:r>
    </w:p>
    <w:p>
      <w:pPr>
        <w:jc w:val="both"/>
      </w:pPr>
      <w:r>
        <w:rPr>
          <w:color w:val="52514E"/>
          <w:sz w:val="18"/>
        </w:rPr>
        <w:t xml:space="preserve">All graded numbers are those in results.json (spec settings: α = 0.5, ε = 0.1, 3,000 episodes, 400-step cap, seeds 0–4). Items marked </w:t>
      </w:r>
      <w:r>
        <w:rPr>
          <w:b/>
          <w:color w:val="52514E"/>
          <w:sz w:val="18"/>
        </w:rPr>
        <w:t>[supp.]</w:t>
      </w:r>
      <w:r>
        <w:rPr>
          <w:color w:val="52514E"/>
          <w:sz w:val="18"/>
        </w:rPr>
        <w:t xml:space="preserve"> are supplementary: they come from extra_experiments.py, which reuses agent.epsilon_greedy and the same update rules (a check confirms it reproduces agent.sarsa / agent.q_learning bit for bit) and uses 20 seeds where stated. The report figures are drawn by report_figures.py; reproduction commands, seeds and versions are in README.md.</w:t>
      </w:r>
    </w:p>
    <w:p>
      <w:pPr>
        <w:keepNext/>
        <w:spacing w:before="160" w:after="60"/>
      </w:pPr>
      <w:r>
        <w:rPr>
          <w:b/>
          <w:color w:val="1F3864"/>
          <w:sz w:val="25"/>
        </w:rPr>
        <w:t>1  Policy iteration vs value iteration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</w:tblPr>
      <w:tblGrid>
        <w:gridCol w:w="4961"/>
        <w:gridCol w:w="4961"/>
      </w:tblGrid>
      <w:tr>
        <w:tc>
          <w:tcPr>
            <w:tcW w:type="dxa" w:w="482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1501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_fig1_gridworl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50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left"/>
            </w:pPr>
            <w:r>
              <w:rPr>
                <w:b/>
                <w:color w:val="52514E"/>
                <w:sz w:val="17"/>
              </w:rPr>
              <w:t>Figure 1.</w:t>
            </w:r>
            <w:r>
              <w:rPr>
                <w:color w:val="52514E"/>
                <w:sz w:val="17"/>
              </w:rPr>
              <w:t xml:space="preserve"> RoomsGridWorld: V* (colour and value) and the greedy policy (arrows). PI and VI produce exactly this map.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both"/>
            </w:pPr>
            <w:r>
              <w:rPr>
                <w:b/>
              </w:rPr>
              <w:t>Both methods reach the same optimal policy and values.</w:t>
            </w:r>
            <w:r>
              <w:t xml:space="preserve"> max |V_PI − V_VI| = 0 and every state gets the same action. The greedy path from S reaches G in 11 steps with undiscounted return 0 and V*(S) = −2.038. At S, </w:t>
            </w:r>
            <w:r>
              <w:rPr>
                <w:i/>
              </w:rPr>
              <w:t>up</w:t>
            </w:r>
            <w:r>
              <w:t xml:space="preserve"> and </w:t>
            </w:r>
            <w:r>
              <w:rPr>
                <w:i/>
              </w:rPr>
              <w:t>right</w:t>
            </w:r>
            <w:r>
              <w:t xml:space="preserve"> are exactly tied (Q = −2.038 for both; each route is 11 steps), and the lowest-index rule selects </w:t>
            </w:r>
            <w:r>
              <w:rPr>
                <w:i/>
              </w:rPr>
              <w:t>up</w:t>
            </w:r>
            <w:r>
              <w:t>.</w:t>
            </w:r>
          </w:p>
          <w:p>
            <w:pPr>
              <w:jc w:val="both"/>
            </w:pPr>
            <w:r>
              <w:rPr>
                <w:b/>
              </w:rPr>
              <w:t>The counts differ because they count different things.</w:t>
            </w:r>
            <w:r>
              <w:t xml:space="preserve"> A PI round contains a complete policy evaluation; a VI sweep is a single backup of every state. Counted in sweeps, PI needs 3,276 against 12 for VI, about 270 times more backups (Table 1).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CellMar>
                <w:top w:w="15" w:type="dxa"/>
                <w:left w:w="70" w:type="dxa"/>
                <w:bottom w:w="15" w:type="dxa"/>
                <w:right w:w="70" w:type="dxa"/>
              </w:tblCellMar>
            </w:tblPr>
            <w:tblGrid>
              <w:gridCol w:w="1704"/>
              <w:gridCol w:w="1704"/>
              <w:gridCol w:w="1704"/>
            </w:tblGrid>
            <w:tr>
              <w:trPr>
                <w:cantSplit/>
              </w:trPr>
              <w:tc>
                <w:tcPr>
                  <w:tcW w:type="dxa" w:w="1800"/>
                  <w:tcBorders>
                    <w:top w:val="single" w:sz="8" w:color="8A8A8A"/>
                    <w:left w:val="nil"/>
                    <w:bottom w:val="single" w:sz="8" w:color="8A8A8A"/>
                    <w:right w:val="nil"/>
                  </w:tcBorders>
                </w:tcPr>
                <w:p>
                  <w:pPr>
                    <w:keepNext/>
                    <w:spacing w:after="0"/>
                    <w:jc w:val="left"/>
                  </w:pPr>
                </w:p>
              </w:tc>
              <w:tc>
                <w:tcPr>
                  <w:tcW w:type="dxa" w:w="2088"/>
                  <w:tcBorders>
                    <w:top w:val="single" w:sz="8" w:color="8A8A8A"/>
                    <w:left w:val="nil"/>
                    <w:bottom w:val="single" w:sz="8" w:color="8A8A8A"/>
                    <w:right w:val="nil"/>
                  </w:tcBorders>
                </w:tcPr>
                <w:p>
                  <w:pPr>
                    <w:keepNext/>
                    <w:spacing w:after="0"/>
                    <w:jc w:val="center"/>
                  </w:pPr>
                  <w:r>
                    <w:rPr>
                      <w:b/>
                      <w:sz w:val="17"/>
                    </w:rPr>
                    <w:t>Policy iteration</w:t>
                  </w:r>
                </w:p>
              </w:tc>
              <w:tc>
                <w:tcPr>
                  <w:tcW w:type="dxa" w:w="1224"/>
                  <w:tcBorders>
                    <w:top w:val="single" w:sz="8" w:color="8A8A8A"/>
                    <w:left w:val="nil"/>
                    <w:bottom w:val="single" w:sz="8" w:color="8A8A8A"/>
                    <w:right w:val="nil"/>
                  </w:tcBorders>
                </w:tcPr>
                <w:p>
                  <w:pPr>
                    <w:keepNext/>
                    <w:spacing w:after="0"/>
                    <w:jc w:val="center"/>
                  </w:pPr>
                  <w:r>
                    <w:rPr>
                      <w:b/>
                      <w:sz w:val="17"/>
                    </w:rPr>
                    <w:t>Value iteration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keepNext/>
                    <w:spacing w:after="0"/>
                    <w:jc w:val="left"/>
                  </w:pPr>
                  <w:r>
                    <w:rPr>
                      <w:sz w:val="17"/>
                    </w:rPr>
                    <w:t>Iterations</w:t>
                  </w:r>
                </w:p>
              </w:tc>
              <w:tc>
                <w:tcPr>
                  <w:tcW w:type="dxa" w:w="208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keepNext/>
                    <w:spacing w:after="0"/>
                    <w:jc w:val="center"/>
                  </w:pPr>
                  <w:r>
                    <w:rPr>
                      <w:sz w:val="17"/>
                    </w:rPr>
                    <w:t>9 rounds</w:t>
                  </w:r>
                </w:p>
              </w:tc>
              <w:tc>
                <w:tcPr>
                  <w:tcW w:type="dxa" w:w="122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keepNext/>
                    <w:spacing w:after="0"/>
                    <w:jc w:val="center"/>
                  </w:pPr>
                  <w:r>
                    <w:rPr>
                      <w:sz w:val="17"/>
                    </w:rPr>
                    <w:t>12 sweeps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keepNext/>
                    <w:spacing w:after="0"/>
                    <w:jc w:val="left"/>
                  </w:pPr>
                  <w:r>
                    <w:rPr>
                      <w:sz w:val="17"/>
                    </w:rPr>
                    <w:t>Eval. sweeps per round</w:t>
                  </w:r>
                </w:p>
              </w:tc>
              <w:tc>
                <w:tcPr>
                  <w:tcW w:type="dxa" w:w="208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keepNext/>
                    <w:spacing w:after="0"/>
                    <w:jc w:val="center"/>
                  </w:pPr>
                  <w:r>
                    <w:rPr>
                      <w:sz w:val="17"/>
                    </w:rPr>
                    <w:t>540 (rounds 1–6), 12 (7–9)</w:t>
                  </w:r>
                </w:p>
              </w:tc>
              <w:tc>
                <w:tcPr>
                  <w:tcW w:type="dxa" w:w="122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keepNext/>
                    <w:spacing w:after="0"/>
                    <w:jc w:val="center"/>
                  </w:pPr>
                  <w:r>
                    <w:rPr>
                      <w:sz w:val="17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keepNext/>
                    <w:spacing w:after="0"/>
                    <w:jc w:val="left"/>
                  </w:pPr>
                  <w:r>
                    <w:rPr>
                      <w:sz w:val="17"/>
                    </w:rPr>
                    <w:t>Total sweeps</w:t>
                  </w:r>
                </w:p>
              </w:tc>
              <w:tc>
                <w:tcPr>
                  <w:tcW w:type="dxa" w:w="208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keepNext/>
                    <w:spacing w:after="0"/>
                    <w:jc w:val="center"/>
                  </w:pPr>
                  <w:r>
                    <w:rPr>
                      <w:sz w:val="17"/>
                    </w:rPr>
                    <w:t>3,276 + 9 improvements</w:t>
                  </w:r>
                </w:p>
              </w:tc>
              <w:tc>
                <w:tcPr>
                  <w:tcW w:type="dxa" w:w="122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keepNext/>
                    <w:spacing w:after="0"/>
                    <w:jc w:val="center"/>
                  </w:pPr>
                  <w:r>
                    <w:rPr>
                      <w:sz w:val="17"/>
                    </w:rPr>
                    <w:t>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tcBorders>
                    <w:top w:val="nil"/>
                    <w:left w:val="nil"/>
                    <w:bottom w:val="single" w:sz="8" w:color="8A8A8A"/>
                    <w:right w:val="nil"/>
                  </w:tcBorders>
                </w:tcPr>
                <w:p>
                  <w:pPr>
                    <w:keepNext/>
                    <w:spacing w:after="0"/>
                    <w:jc w:val="left"/>
                  </w:pPr>
                  <w:r>
                    <w:rPr>
                      <w:sz w:val="17"/>
                    </w:rPr>
                    <w:t>V*(S), action at S</w:t>
                  </w:r>
                </w:p>
              </w:tc>
              <w:tc>
                <w:tcPr>
                  <w:tcW w:type="dxa" w:w="2088"/>
                  <w:tcBorders>
                    <w:top w:val="nil"/>
                    <w:left w:val="nil"/>
                    <w:bottom w:val="single" w:sz="8" w:color="8A8A8A"/>
                    <w:right w:val="nil"/>
                  </w:tcBorders>
                </w:tcPr>
                <w:p>
                  <w:pPr>
                    <w:keepNext/>
                    <w:spacing w:after="0"/>
                    <w:jc w:val="center"/>
                  </w:pPr>
                  <w:r>
                    <w:rPr>
                      <w:sz w:val="17"/>
                    </w:rPr>
                    <w:t>−2.038, up</w:t>
                  </w:r>
                </w:p>
              </w:tc>
              <w:tc>
                <w:tcPr>
                  <w:tcW w:type="dxa" w:w="1224"/>
                  <w:tcBorders>
                    <w:top w:val="nil"/>
                    <w:left w:val="nil"/>
                    <w:bottom w:val="single" w:sz="8" w:color="8A8A8A"/>
                    <w:right w:val="nil"/>
                  </w:tcBorders>
                </w:tcPr>
                <w:p>
                  <w:pPr>
                    <w:keepNext/>
                    <w:spacing w:after="0"/>
                    <w:jc w:val="center"/>
                  </w:pPr>
                  <w:r>
                    <w:rPr>
                      <w:sz w:val="17"/>
                    </w:rPr>
                    <w:t>−2.038, up</w:t>
                  </w:r>
                </w:p>
              </w:tc>
            </w:tr>
          </w:tbl>
          <w:p>
            <w:pPr>
              <w:spacing w:after="120"/>
              <w:jc w:val="left"/>
            </w:pPr>
            <w:r>
              <w:rPr>
                <w:b/>
                <w:color w:val="52514E"/>
                <w:sz w:val="17"/>
              </w:rPr>
              <w:t>Table 1.</w:t>
            </w:r>
            <w:r>
              <w:rPr>
                <w:color w:val="52514E"/>
                <w:sz w:val="17"/>
              </w:rPr>
              <w:t xml:space="preserve"> DP summary; values identical to results.json.</w:t>
            </w:r>
          </w:p>
        </w:tc>
      </w:tr>
    </w:tbl>
    <w:p>
      <w:pPr>
        <w:jc w:val="both"/>
      </w:pPr>
      <w:r>
        <w:rPr>
          <w:b/>
        </w:rPr>
        <w:t>Why rounds 1–6 cost 540 sweeps each.</w:t>
      </w:r>
      <w:r>
        <w:t xml:space="preserve"> The initial all-</w:t>
      </w:r>
      <w:r>
        <w:rPr>
          <w:i/>
        </w:rPr>
        <w:t>up</w:t>
      </w:r>
      <w:r>
        <w:t xml:space="preserve"> policy drives most states into a wall or the top border forever, so their value is −1/(1−γ) = −20. Under a fixed policy the change per sweep shrinks only by γ = 0.95, and 0.95ᵏ⁻¹ &lt; 10⁻¹² gives exactly k = 540. Each improvement re-routes only the 4–7 states next to already-good ones, so some state keeps looping until round 6. From round 7 every path terminates, and evaluating a deterministic terminating policy is exact after 12 sweeps. Each evaluation starts from V = 0; warm-starting from the previous V would lower the sweep total but not the 9 rounds, since every evaluation reaches the same fixed point.</w:t>
      </w:r>
    </w:p>
    <w:p>
      <w:pPr>
        <w:jc w:val="both"/>
      </w:pPr>
      <w:r>
        <w:rPr>
          <w:b/>
        </w:rPr>
        <w:t>Why VI needs only 12.</w:t>
      </w:r>
      <w:r>
        <w:t xml:space="preserve"> The max lets correct values spread outward from G one cell per sweep: the largest change is exactly 10·0.95ᵏ⁻¹ (10, 9.5, 9.03, …, 5.99). S is the farthest state, 11 steps away, so after 11 sweeps every value is exact and sweep 12 confirms Δ = 0. PI takes a few large, expensive steps (policy improvement is a Newton-like jump); VI takes many cheap ones. On this small deterministic grid VI is far cheaper.</w:t>
      </w:r>
    </w:p>
    <w:p>
      <w:pPr>
        <w:keepNext/>
        <w:spacing w:before="160" w:after="60"/>
      </w:pPr>
      <w:r>
        <w:rPr>
          <w:b/>
          <w:color w:val="1F3864"/>
          <w:sz w:val="25"/>
        </w:rPr>
        <w:t>2  The paths learned by SARSA and Q-learning</w:t>
      </w:r>
    </w:p>
    <w:p>
      <w:pPr>
        <w:jc w:val="both"/>
      </w:pPr>
      <w:r>
        <w:rPr>
          <w:b/>
        </w:rPr>
        <w:t>Q-learning learns the shortest path along the cliff edge; SARSA learns a detour through the top rows</w:t>
      </w:r>
      <w:r>
        <w:t xml:space="preserve"> (Figure 2). Q-learning's greedy path runs along row 3 on every seed: 11 steps, return −11.0, </w:t>
      </w:r>
      <w:r>
        <w:rPr>
          <w:b/>
        </w:rPr>
        <w:t>highest_row = 3.0</w:t>
      </w:r>
      <w:r>
        <w:t xml:space="preserve">, identical to the DP optimum. SARSA's path climbs to row 0 (four seeds) or row 1 (one seed) before crossing: 15–17 steps, return −16.6 ± 0.8, </w:t>
      </w:r>
      <w:r>
        <w:rPr>
          <w:b/>
        </w:rPr>
        <w:t>highest_row = 0.2</w:t>
      </w:r>
      <w:r>
        <w:t>. With 20 seeds [supp.] the picture is the same: Q-learning 3.0 on every seed, SARSA rows 0–1 only.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86400" cy="15266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fig2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6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b/>
          <w:color w:val="52514E"/>
          <w:sz w:val="17"/>
        </w:rPr>
        <w:t>Figure 2.</w:t>
      </w:r>
      <w:r>
        <w:rPr>
          <w:color w:val="52514E"/>
          <w:sz w:val="17"/>
        </w:rPr>
        <w:t xml:space="preserve"> Greedy path of each seed (0–4), drawn slightly offset. Q-learning's path is identical on all seeds.</w:t>
      </w:r>
    </w:p>
    <w:p>
      <w:pPr>
        <w:jc w:val="both"/>
      </w:pPr>
      <w:r>
        <w:rPr>
          <w:b/>
        </w:rPr>
        <w:t>Why it leaves the edge.</w:t>
      </w:r>
      <w:r>
        <w:t xml:space="preserve"> Q-learning's target r + γ·max_a′ Q(s′,a′) assumes greedy behaviour from the next step on, so it estimates q*, the value of the optimal policy, whatever exploration is actually performed (Bellman optimality). SARSA's target r + γ·Q(s′,a′) uses the action the ε-greedy policy actually takes, so it estimates q_π of the ε-greedy policy itself (Bellman expectation). On row 3 every step has a 0.1 × ¼ = 2.5 % chance of a random </w:t>
      </w:r>
      <w:r>
        <w:rPr>
          <w:i/>
        </w:rPr>
        <w:t>down</w:t>
      </w:r>
      <w:r>
        <w:t xml:space="preserve"> move: −75 and a restart at S. SARSA's values price that risk in; Q-learning's do not. Figure 3 shows this: averaged over row 3 (columns 1–8), SARSA's value is −14.6 while Q-learning's is −5.35, exactly V*. (Q-learning matches V* on rows 2–3 and at S; only the rarely visited rows 0–1 are still optimistic, by up to 2.4, because Q starts at 0.)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35040" cy="1653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fig3_value_ma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5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b/>
          <w:color w:val="52514E"/>
          <w:sz w:val="17"/>
        </w:rPr>
        <w:t>Figure 3 [supp.].</w:t>
      </w:r>
      <w:r>
        <w:rPr>
          <w:color w:val="52514E"/>
          <w:sz w:val="17"/>
        </w:rPr>
        <w:t xml:space="preserve"> Learned values max_a Q̄(s,a) and greedy action argmax_a Q̄(s,a) of the seed-averaged Q̄ (seeds 0–4). SARSA's values drop sharply next to the cliff; Q-learning's equal V* along the edge.</w:t>
      </w:r>
    </w:p>
    <w:p>
      <w:pPr>
        <w:jc w:val="both"/>
      </w:pPr>
      <w:r>
        <w:rPr>
          <w:b/>
        </w:rPr>
        <w:t>Why it goes as far as rows 0–1.</w:t>
      </w:r>
      <w:r>
        <w:t xml:space="preserve"> The risk explains leaving the edge, but not the full detour. SARSA's convergence target, the fixed point q*_ε of its expected update under ε-greedy behaviour (solved exactly from the model), keeps only one row of distance at ε = 0.1: its greedy path runs along row 2 with return −13 (Table 4). The extra climb to rows 0–1 (−16.6) comes from the constant α = 0.5 and the finite budget. On the same 20 seeds, α = 0.1 learns q*_ε's row-2 path on every seed (−13.0). With α = 0.5 each update moves Q halfway towards a single sampled target, so values next to the cliff stay noisy and are repeatedly knocked down by single fall-driven samples, and the greedy policy keeps more distance than the expected risk justifies. </w:t>
      </w:r>
      <w:r>
        <w:rPr>
          <w:b/>
        </w:rPr>
        <w:t>highest_row therefore measures two things: the on-policy objective (row 3 → 2) and the step-size noise (row 2 → 0–1).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5" w:type="dxa"/>
          <w:left w:w="70" w:type="dxa"/>
          <w:bottom w:w="15" w:type="dxa"/>
          <w:right w:w="70" w:type="dxa"/>
        </w:tblCellMar>
      </w:tblPr>
      <w:tblGrid>
        <w:gridCol w:w="1984"/>
        <w:gridCol w:w="1984"/>
        <w:gridCol w:w="1984"/>
        <w:gridCol w:w="1984"/>
        <w:gridCol w:w="1984"/>
      </w:tblGrid>
      <w:tr>
        <w:trPr>
          <w:cantSplit/>
        </w:trPr>
        <w:tc>
          <w:tcPr>
            <w:tcW w:type="dxa" w:w="648"/>
            <w:tcBorders>
              <w:top w:val="single" w:sz="8" w:color="8A8A8A"/>
              <w:left w:val="nil"/>
              <w:bottom w:val="single" w:sz="8" w:color="8A8A8A"/>
              <w:right w:val="nil"/>
            </w:tcBorders>
          </w:tcPr>
          <w:p>
            <w:pPr>
              <w:keepNext/>
              <w:spacing w:after="0"/>
              <w:jc w:val="left"/>
            </w:pPr>
            <w:r>
              <w:rPr>
                <w:b/>
                <w:sz w:val="17"/>
              </w:rPr>
              <w:t>ε</w:t>
            </w:r>
          </w:p>
        </w:tc>
        <w:tc>
          <w:tcPr>
            <w:tcW w:type="dxa" w:w="1656"/>
            <w:tcBorders>
              <w:top w:val="single" w:sz="8" w:color="8A8A8A"/>
              <w:left w:val="nil"/>
              <w:bottom w:val="single" w:sz="8" w:color="8A8A8A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sz w:val="17"/>
              </w:rPr>
              <w:t>q*_ε (exact)</w:t>
            </w:r>
          </w:p>
        </w:tc>
        <w:tc>
          <w:tcPr>
            <w:tcW w:type="dxa" w:w="2520"/>
            <w:tcBorders>
              <w:top w:val="single" w:sz="8" w:color="8A8A8A"/>
              <w:left w:val="nil"/>
              <w:bottom w:val="single" w:sz="8" w:color="8A8A8A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sz w:val="17"/>
              </w:rPr>
              <w:t>α = 0.5 (spec)</w:t>
            </w:r>
          </w:p>
        </w:tc>
        <w:tc>
          <w:tcPr>
            <w:tcW w:type="dxa" w:w="2304"/>
            <w:tcBorders>
              <w:top w:val="single" w:sz="8" w:color="8A8A8A"/>
              <w:left w:val="nil"/>
              <w:bottom w:val="single" w:sz="8" w:color="8A8A8A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sz w:val="17"/>
              </w:rPr>
              <w:t>α = 0.1</w:t>
            </w:r>
          </w:p>
        </w:tc>
        <w:tc>
          <w:tcPr>
            <w:tcW w:type="dxa" w:w="2520"/>
            <w:tcBorders>
              <w:top w:val="single" w:sz="8" w:color="8A8A8A"/>
              <w:left w:val="nil"/>
              <w:bottom w:val="single" w:sz="8" w:color="8A8A8A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sz w:val="17"/>
              </w:rPr>
              <w:t>α = 0.5 / (1 + n/50)</w:t>
            </w:r>
          </w:p>
        </w:tc>
      </w:tr>
      <w:tr>
        <w:trPr>
          <w:cantSplit/>
        </w:trPr>
        <w:tc>
          <w:tcPr>
            <w:tcW w:type="dxa" w:w="6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left"/>
            </w:pPr>
            <w:r>
              <w:rPr>
                <w:sz w:val="17"/>
              </w:rPr>
              <w:t>0.01</w:t>
            </w:r>
          </w:p>
        </w:tc>
        <w:tc>
          <w:tcPr>
            <w:tcW w:type="dxa" w:w="16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row 3 · −11.0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rows 0–1 · −16.1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rows 2–3 · −12.9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rows 1–2 · −13.2</w:t>
            </w:r>
          </w:p>
        </w:tc>
      </w:tr>
      <w:tr>
        <w:trPr>
          <w:cantSplit/>
        </w:trPr>
        <w:tc>
          <w:tcPr>
            <w:tcW w:type="dxa" w:w="6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left"/>
            </w:pPr>
            <w:r>
              <w:rPr>
                <w:sz w:val="17"/>
              </w:rPr>
              <w:t>0.1</w:t>
            </w:r>
          </w:p>
        </w:tc>
        <w:tc>
          <w:tcPr>
            <w:tcW w:type="dxa" w:w="16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row 2 · −13.0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 xml:space="preserve">rows 0–1 · −15.8 · </w:t>
            </w:r>
            <w:r>
              <w:rPr>
                <w:b/>
                <w:sz w:val="17"/>
              </w:rPr>
              <w:t>1 fail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row 2 · −13.0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rows 1–2 · −13.8</w:t>
            </w:r>
          </w:p>
        </w:tc>
      </w:tr>
      <w:tr>
        <w:trPr>
          <w:cantSplit/>
        </w:trPr>
        <w:tc>
          <w:tcPr>
            <w:tcW w:type="dxa" w:w="6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left"/>
            </w:pPr>
            <w:r>
              <w:rPr>
                <w:sz w:val="17"/>
              </w:rPr>
              <w:t>0.2</w:t>
            </w:r>
          </w:p>
        </w:tc>
        <w:tc>
          <w:tcPr>
            <w:tcW w:type="dxa" w:w="16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row 2 · −13.0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 xml:space="preserve">rows 0–1 · −16.9 · </w:t>
            </w:r>
            <w:r>
              <w:rPr>
                <w:b/>
                <w:sz w:val="17"/>
              </w:rPr>
              <w:t>1 fail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rows 1–2 · −14.5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row 1 · −15.0</w:t>
            </w:r>
          </w:p>
        </w:tc>
      </w:tr>
      <w:tr>
        <w:trPr>
          <w:cantSplit/>
        </w:trPr>
        <w:tc>
          <w:tcPr>
            <w:tcW w:type="dxa" w:w="648"/>
            <w:tcBorders>
              <w:top w:val="nil"/>
              <w:left w:val="nil"/>
              <w:bottom w:val="single" w:sz="8" w:color="8A8A8A"/>
              <w:right w:val="nil"/>
            </w:tcBorders>
          </w:tcPr>
          <w:p>
            <w:pPr>
              <w:keepNext/>
              <w:spacing w:after="0"/>
              <w:jc w:val="left"/>
            </w:pPr>
            <w:r>
              <w:rPr>
                <w:sz w:val="17"/>
              </w:rPr>
              <w:t>0.3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8" w:color="8A8A8A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row 1 · −15.0</w:t>
            </w:r>
          </w:p>
        </w:tc>
        <w:tc>
          <w:tcPr>
            <w:tcW w:type="dxa" w:w="2520"/>
            <w:tcBorders>
              <w:top w:val="nil"/>
              <w:left w:val="nil"/>
              <w:bottom w:val="single" w:sz="8" w:color="8A8A8A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 xml:space="preserve">rows 0–1 · −16.9 · </w:t>
            </w:r>
            <w:r>
              <w:rPr>
                <w:b/>
                <w:sz w:val="17"/>
              </w:rPr>
              <w:t>5 fail</w:t>
            </w:r>
          </w:p>
        </w:tc>
        <w:tc>
          <w:tcPr>
            <w:tcW w:type="dxa" w:w="2304"/>
            <w:tcBorders>
              <w:top w:val="nil"/>
              <w:left w:val="nil"/>
              <w:bottom w:val="single" w:sz="8" w:color="8A8A8A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rows 0–2 · −15.1</w:t>
            </w:r>
          </w:p>
        </w:tc>
        <w:tc>
          <w:tcPr>
            <w:tcW w:type="dxa" w:w="2520"/>
            <w:tcBorders>
              <w:top w:val="nil"/>
              <w:left w:val="nil"/>
              <w:bottom w:val="single" w:sz="8" w:color="8A8A8A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row 1 · −15.0</w:t>
            </w:r>
          </w:p>
        </w:tc>
      </w:tr>
    </w:tbl>
    <w:p>
      <w:pPr>
        <w:spacing w:after="120"/>
        <w:jc w:val="left"/>
      </w:pPr>
      <w:r>
        <w:rPr>
          <w:b/>
          <w:color w:val="52514E"/>
          <w:sz w:val="17"/>
        </w:rPr>
        <w:t>Table 4 [supp.].</w:t>
      </w:r>
      <w:r>
        <w:rPr>
          <w:color w:val="52514E"/>
          <w:sz w:val="17"/>
        </w:rPr>
        <w:t xml:space="preserve"> SARSA's convergence target vs what it learns (20 seeds, 3,000 episodes). Each cell: highest row of the greedy path · greedy return (mean over runs that reach G) · number of the 20 final greedy policies that never reach G. q*_ε is the exact fixed point under ε-greedy behaviour; n is the visit count of (s, a).</w:t>
      </w:r>
    </w:p>
    <w:p>
      <w:pPr>
        <w:keepNext/>
        <w:spacing w:before="160" w:after="60"/>
      </w:pPr>
      <w:r>
        <w:rPr>
          <w:b/>
          <w:color w:val="1F3864"/>
          <w:sz w:val="25"/>
        </w:rPr>
        <w:t>3  The effect of ε</w:t>
      </w:r>
    </w:p>
    <w:p>
      <w:pPr>
        <w:jc w:val="both"/>
      </w:pPr>
      <w:r>
        <w:t xml:space="preserve">We trained both algorithms with ε ∈ {0.01, 0.05, 0.1, 0.2, 0.3}, everything else fixed, with 5 seeds (results_sweep/) and again with 20 seeds [supp.]. The conclusions agree; Figure 4 and Table 2 report the 20-seed runs, which is why their ε = 0.1 row differs slightly from results.json. Besides training return and final greedy return we measured how many training episodes contain a cliff fall, and </w:t>
      </w:r>
      <w:r>
        <w:rPr>
          <w:b/>
        </w:rPr>
        <w:t>greedy stability</w:t>
      </w:r>
      <w:r>
        <w:t>: at the end of each of the last 500 episodes, does the current greedy policy reach G?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35040" cy="15505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fig4_eps_swee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50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b/>
          <w:color w:val="52514E"/>
          <w:sz w:val="17"/>
        </w:rPr>
        <w:t>Figure 4 [supp.].</w:t>
      </w:r>
      <w:r>
        <w:rPr>
          <w:color w:val="52514E"/>
          <w:sz w:val="17"/>
        </w:rPr>
        <w:t xml:space="preserve"> ε sweep, 20 seeds, mean ± 1 std across seeds; (a, b) over the last 500 training episodes. (c) Share of late-training greedy snapshots that reach G; the labels count runs whose final greedy policy never reaches 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5" w:type="dxa"/>
          <w:left w:w="70" w:type="dxa"/>
          <w:bottom w:w="15" w:type="dxa"/>
          <w:right w:w="70" w:type="dxa"/>
        </w:tblCellMar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</w:trPr>
        <w:tc>
          <w:tcPr>
            <w:tcW w:type="dxa" w:w="576"/>
            <w:tcBorders>
              <w:top w:val="single" w:sz="8" w:color="8A8A8A"/>
              <w:left w:val="nil"/>
              <w:bottom w:val="single" w:sz="8" w:color="8A8A8A"/>
              <w:right w:val="nil"/>
            </w:tcBorders>
          </w:tcPr>
          <w:p>
            <w:pPr>
              <w:keepNext/>
              <w:spacing w:after="0"/>
              <w:jc w:val="left"/>
            </w:pPr>
            <w:r>
              <w:rPr>
                <w:b/>
                <w:sz w:val="17"/>
              </w:rPr>
              <w:t>ε</w:t>
            </w:r>
          </w:p>
        </w:tc>
        <w:tc>
          <w:tcPr>
            <w:tcW w:type="dxa" w:w="2592"/>
            <w:tcBorders>
              <w:top w:val="single" w:sz="8" w:color="8A8A8A"/>
              <w:left w:val="nil"/>
              <w:bottom w:val="single" w:sz="8" w:color="8A8A8A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sz w:val="17"/>
              </w:rPr>
              <w:t>Training return  S / Q</w:t>
            </w:r>
          </w:p>
        </w:tc>
        <w:tc>
          <w:tcPr>
            <w:tcW w:type="dxa" w:w="1944"/>
            <w:tcBorders>
              <w:top w:val="single" w:sz="8" w:color="8A8A8A"/>
              <w:left w:val="nil"/>
              <w:bottom w:val="single" w:sz="8" w:color="8A8A8A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sz w:val="17"/>
              </w:rPr>
              <w:t>Episodes with a fall  S / Q</w:t>
            </w:r>
          </w:p>
        </w:tc>
        <w:tc>
          <w:tcPr>
            <w:tcW w:type="dxa" w:w="1368"/>
            <w:tcBorders>
              <w:top w:val="single" w:sz="8" w:color="8A8A8A"/>
              <w:left w:val="nil"/>
              <w:bottom w:val="single" w:sz="8" w:color="8A8A8A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sz w:val="17"/>
              </w:rPr>
              <w:t>SARSA greedy reaches G</w:t>
            </w:r>
          </w:p>
        </w:tc>
        <w:tc>
          <w:tcPr>
            <w:tcW w:type="dxa" w:w="1872"/>
            <w:tcBorders>
              <w:top w:val="single" w:sz="8" w:color="8A8A8A"/>
              <w:left w:val="nil"/>
              <w:bottom w:val="single" w:sz="8" w:color="8A8A8A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sz w:val="17"/>
              </w:rPr>
              <w:t>SARSA greedy return: reached / all</w:t>
            </w:r>
          </w:p>
        </w:tc>
        <w:tc>
          <w:tcPr>
            <w:tcW w:type="dxa" w:w="1584"/>
            <w:tcBorders>
              <w:top w:val="single" w:sz="8" w:color="8A8A8A"/>
              <w:left w:val="nil"/>
              <w:bottom w:val="single" w:sz="8" w:color="8A8A8A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sz w:val="17"/>
              </w:rPr>
              <w:t>SARSA late snapshots reaching G</w:t>
            </w:r>
          </w:p>
        </w:tc>
      </w:tr>
      <w:tr>
        <w:trPr>
          <w:cantSplit/>
        </w:trP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left"/>
            </w:pPr>
            <w:r>
              <w:rPr>
                <w:sz w:val="17"/>
              </w:rPr>
              <w:t>0.01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 xml:space="preserve">−16.5 ± 0.9 / </w:t>
            </w:r>
            <w:r>
              <w:rPr>
                <w:b/>
                <w:sz w:val="17"/>
              </w:rPr>
              <w:t>−13.0 ± 0.5</w:t>
            </w:r>
          </w:p>
        </w:tc>
        <w:tc>
          <w:tcPr>
            <w:tcW w:type="dxa" w:w="19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0.2 % / 2.3 %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20/20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−16.1 / −16.1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98.6 %</w:t>
            </w:r>
          </w:p>
        </w:tc>
      </w:tr>
      <w:tr>
        <w:trPr>
          <w:cantSplit/>
        </w:trP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left"/>
            </w:pPr>
            <w:r>
              <w:rPr>
                <w:sz w:val="17"/>
              </w:rPr>
              <w:t>0.05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sz w:val="17"/>
              </w:rPr>
              <w:t>−20.0 ± 3.0</w:t>
            </w:r>
            <w:r>
              <w:rPr>
                <w:sz w:val="17"/>
              </w:rPr>
              <w:t xml:space="preserve"> / −21.2 ± 1.3</w:t>
            </w:r>
          </w:p>
        </w:tc>
        <w:tc>
          <w:tcPr>
            <w:tcW w:type="dxa" w:w="19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1.9 % / 10.7 %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20/20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−16.3 / −16.3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94.6 %</w:t>
            </w:r>
          </w:p>
        </w:tc>
      </w:tr>
      <w:tr>
        <w:trPr>
          <w:cantSplit/>
        </w:trP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left"/>
            </w:pPr>
            <w:r>
              <w:rPr>
                <w:sz w:val="17"/>
              </w:rPr>
              <w:t>0.1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sz w:val="17"/>
              </w:rPr>
              <w:t>−23.6 ± 2.7</w:t>
            </w:r>
            <w:r>
              <w:rPr>
                <w:sz w:val="17"/>
              </w:rPr>
              <w:t xml:space="preserve"> / −31.8 ± 1.5</w:t>
            </w:r>
          </w:p>
        </w:tc>
        <w:tc>
          <w:tcPr>
            <w:tcW w:type="dxa" w:w="19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3.9 % / 19.8 %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19/20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−15.8 / −35.0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88.0 %</w:t>
            </w:r>
          </w:p>
        </w:tc>
      </w:tr>
      <w:tr>
        <w:trPr>
          <w:cantSplit/>
        </w:trP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left"/>
            </w:pPr>
            <w:r>
              <w:rPr>
                <w:sz w:val="17"/>
              </w:rPr>
              <w:t>0.2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sz w:val="17"/>
              </w:rPr>
              <w:t>−34.4 ± 2.9</w:t>
            </w:r>
            <w:r>
              <w:rPr>
                <w:sz w:val="17"/>
              </w:rPr>
              <w:t xml:space="preserve"> / −56.8 ± 3.1</w:t>
            </w:r>
          </w:p>
        </w:tc>
        <w:tc>
          <w:tcPr>
            <w:tcW w:type="dxa" w:w="19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9.1 % / 34.6 %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19/20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−16.9 / −36.0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71.8 %</w:t>
            </w:r>
          </w:p>
        </w:tc>
      </w:tr>
      <w:tr>
        <w:trPr>
          <w:cantSplit/>
        </w:trPr>
        <w:tc>
          <w:tcPr>
            <w:tcW w:type="dxa" w:w="576"/>
            <w:tcBorders>
              <w:top w:val="nil"/>
              <w:left w:val="nil"/>
              <w:bottom w:val="single" w:sz="8" w:color="8A8A8A"/>
              <w:right w:val="nil"/>
            </w:tcBorders>
          </w:tcPr>
          <w:p>
            <w:pPr>
              <w:keepNext/>
              <w:spacing w:after="0"/>
              <w:jc w:val="left"/>
            </w:pPr>
            <w:r>
              <w:rPr>
                <w:sz w:val="17"/>
              </w:rPr>
              <w:t>0.3</w:t>
            </w:r>
          </w:p>
        </w:tc>
        <w:tc>
          <w:tcPr>
            <w:tcW w:type="dxa" w:w="2592"/>
            <w:tcBorders>
              <w:top w:val="nil"/>
              <w:left w:val="nil"/>
              <w:bottom w:val="single" w:sz="8" w:color="8A8A8A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sz w:val="17"/>
              </w:rPr>
              <w:t>−46.6 ± 3.4</w:t>
            </w:r>
            <w:r>
              <w:rPr>
                <w:sz w:val="17"/>
              </w:rPr>
              <w:t xml:space="preserve"> / −85.5 ± 3.4</w:t>
            </w:r>
          </w:p>
        </w:tc>
        <w:tc>
          <w:tcPr>
            <w:tcW w:type="dxa" w:w="1944"/>
            <w:tcBorders>
              <w:top w:val="nil"/>
              <w:left w:val="nil"/>
              <w:bottom w:val="single" w:sz="8" w:color="8A8A8A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15.6 % / 46.5 %</w:t>
            </w:r>
          </w:p>
        </w:tc>
        <w:tc>
          <w:tcPr>
            <w:tcW w:type="dxa" w:w="1368"/>
            <w:tcBorders>
              <w:top w:val="nil"/>
              <w:left w:val="nil"/>
              <w:bottom w:val="single" w:sz="8" w:color="8A8A8A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15/20</w:t>
            </w:r>
          </w:p>
        </w:tc>
        <w:tc>
          <w:tcPr>
            <w:tcW w:type="dxa" w:w="1872"/>
            <w:tcBorders>
              <w:top w:val="nil"/>
              <w:left w:val="nil"/>
              <w:bottom w:val="single" w:sz="8" w:color="8A8A8A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−16.9 / −112.7</w:t>
            </w:r>
          </w:p>
        </w:tc>
        <w:tc>
          <w:tcPr>
            <w:tcW w:type="dxa" w:w="1584"/>
            <w:tcBorders>
              <w:top w:val="nil"/>
              <w:left w:val="nil"/>
              <w:bottom w:val="single" w:sz="8" w:color="8A8A8A"/>
              <w:right w:val="nil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60.6 %</w:t>
            </w:r>
          </w:p>
        </w:tc>
      </w:tr>
    </w:tbl>
    <w:p>
      <w:pPr>
        <w:spacing w:after="120"/>
        <w:jc w:val="left"/>
      </w:pPr>
      <w:r>
        <w:rPr>
          <w:b/>
          <w:color w:val="52514E"/>
          <w:sz w:val="17"/>
        </w:rPr>
        <w:t>Table 2 [supp.].</w:t>
      </w:r>
      <w:r>
        <w:rPr>
          <w:color w:val="52514E"/>
          <w:sz w:val="17"/>
        </w:rPr>
        <w:t xml:space="preserve"> 20 seeds, mean ± std; S = SARSA, Q = Q-learning; bold = better training return. Falls: share of the last 500 training episodes with at least one cliff transition (reward −75). SARSA's greedy return is given over the runs that reach G and over all 20 runs, where a policy that never reaches G scores −400 at the 400-step cap. Q-learning reaches G on 20/20 seeds with return −11 and in 100 % of snapshots at every ε.</w:t>
      </w:r>
    </w:p>
    <w:p>
      <w:pPr>
        <w:jc w:val="both"/>
      </w:pPr>
      <w:r>
        <w:rPr>
          <w:b/>
        </w:rPr>
        <w:t>Exploration and training return.</w:t>
      </w:r>
      <w:r>
        <w:t xml:space="preserve"> Larger ε means more random moves and more falls, but the cost depends on where the agent walks. On the edge, Q-learning falls in 2.3 % → 46.5 % of episodes as ε goes from 0.01 to 0.3; SARSA, away from the edge, in 0.2 % → 15.6 %. Training return drops for both, much faster for Q-learning (−13.0 → −85.5 vs −16.5 → −46.6), and the ranking reverses: Q-learning trains better at ε = 0.01, they are level at 0.05, and SARSA is better from 0.1 on.</w:t>
      </w:r>
    </w:p>
    <w:p>
      <w:pPr>
        <w:jc w:val="both"/>
      </w:pPr>
      <w:r>
        <w:rPr>
          <w:b/>
        </w:rPr>
        <w:t>Final greedy evaluation.</w:t>
      </w:r>
      <w:r>
        <w:t xml:space="preserve"> Q-learning's greedy policy is optimal (−11) at every ε and seed, because its target does not depend on ε. SARSA's greedy path stays on the detour at every ε and becomes less reliable as ε grows: the share of late snapshots whose greedy policy reaches G falls from 98.6 % to 60.6 %. At ε = 0.3, 5 of 20 final policies never reach G, which pulls the all-seed mean (capped at 400 steps) to −112.7 although the successful runs average −16.9.</w:t>
      </w:r>
    </w:p>
    <w:p>
      <w:pPr>
        <w:jc w:val="both"/>
      </w:pPr>
      <w:r>
        <w:rPr>
          <w:b/>
        </w:rPr>
        <w:t>These failures are not a bug.</w:t>
      </w:r>
      <w:r>
        <w:t xml:space="preserve"> The spec notes that a greedy policy which fails to reach G signals a bug, because this cannot happen </w:t>
      </w:r>
      <w:r>
        <w:rPr>
          <w:i/>
        </w:rPr>
        <w:t>at convergence</w:t>
      </w:r>
      <w:r>
        <w:t xml:space="preserve">. Constant-α SARSA does not converge: its target samples a′ from the exploring policy (a random a′ near the cliff is worth about −100), and with α = 0.5 each noisy target moves Q halfway, so near-tied actions keep swapping. A greedy policy can then contain a loop. For example, at S (ε = 0.2, seed 3) Q(up) = −24.02 &lt; Q(down) = −23.85, and </w:t>
      </w:r>
      <w:r>
        <w:rPr>
          <w:i/>
        </w:rPr>
        <w:t>down</w:t>
      </w:r>
      <w:r>
        <w:t xml:space="preserve"> bumps the border, so the greedy agent never leaves S; the ε-greedy behaviour escapes such loops, so training is unaffected. Table 4 confirms the diagnosis: q*_ε reaches G at every ε, and on the same 20 seeds α = 0.1 or a decaying α gives no failures at any ε (late-snapshot stability 98–100 %). Q-learning, whose target has no sampled action, never fails, and all five graded SARSA runs (ε = 0.1, results.json) reach G.</w:t>
      </w:r>
    </w:p>
    <w:p>
      <w:pPr>
        <w:jc w:val="both"/>
      </w:pPr>
      <w:r>
        <w:rPr>
          <w:b/>
        </w:rPr>
        <w:t>Too little exploration also has a cost.</w:t>
      </w:r>
      <w:r>
        <w:t xml:space="preserve"> At ε = 0.01 the edge is optimal even for SARSA's own objective (q*_ε runs along row 3, Table 4), yet SARSA rarely finds it: 1 of 20 runs with α = 0.1, none with α = 0.5. In a 20,000-episode run at ε = 0.01 [supp.] its greedy path only drifts from row 0 to rows 1–2. Early episodes, with Q initialised at 0, fall off the cliff often, so edge actions start with very negative values; with ε = 0.01 they are almost never retried, and those estimates are not corrected. In short, </w:t>
      </w:r>
      <w:r>
        <w:rPr>
          <w:b/>
        </w:rPr>
        <w:t>ε trades training cost against discovery and, for SARSA, against greedy reliability.</w:t>
      </w:r>
    </w:p>
    <w:p>
      <w:pPr>
        <w:keepNext/>
        <w:spacing w:before="160" w:after="60"/>
      </w:pPr>
      <w:r>
        <w:rPr>
          <w:b/>
          <w:color w:val="1F3864"/>
          <w:sz w:val="25"/>
        </w:rPr>
        <w:t>4  Worse training return, better greedy return</w:t>
      </w:r>
    </w:p>
    <w:p>
      <w:pPr>
        <w:jc w:val="both"/>
      </w:pPr>
      <w:r>
        <w:rPr>
          <w:b/>
        </w:rPr>
        <w:t>Both facts hold because the two numbers measure different policies.</w:t>
      </w:r>
      <w:r>
        <w:t xml:space="preserve"> At the spec settings, Q-learning's training return is worse (−31.7 vs −23.2) while its greedy return is better (−11.0 vs −16.6). Training return measures the ε-greedy </w:t>
      </w:r>
      <w:r>
        <w:rPr>
          <w:i/>
        </w:rPr>
        <w:t>behaviour</w:t>
      </w:r>
      <w:r>
        <w:t xml:space="preserve"> policy while it learns; greedy return measures the learned policy with exploration switched off (Figure 5).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</w:tblPr>
      <w:tblGrid>
        <w:gridCol w:w="4961"/>
        <w:gridCol w:w="4961"/>
      </w:tblGrid>
      <w:tr>
        <w:tc>
          <w:tcPr>
            <w:tcW w:type="dxa" w:w="48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203927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_fig5_training_curve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039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left"/>
            </w:pPr>
            <w:r>
              <w:rPr>
                <w:b/>
                <w:color w:val="52514E"/>
                <w:sz w:val="17"/>
              </w:rPr>
              <w:t>Figure 5.</w:t>
            </w:r>
            <w:r>
              <w:rPr>
                <w:color w:val="52514E"/>
                <w:sz w:val="17"/>
              </w:rPr>
              <w:t xml:space="preserve"> Training return at the spec settings (ε = 0.1), mean ± 1 std over seeds 0–4, 50-episode moving average, y-axis clipped at −100. Legend: raw last-500 means, as in results.json.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both"/>
            </w:pPr>
            <w:r>
              <w:t>To separate the two, we froze each learned Q and executed its policy without learning at different ε [supp.]. At ε = 0.1, SARSA's policy earns −20.9 and Q-learning's −31.7, the same as the DP-optimal policy executed ε-greedily (−31.8). At ε = 0 the order flips. The curves cross near ε ≈ 0.04 (Table 3, Figure 6).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CellMar>
                <w:top w:w="15" w:type="dxa"/>
                <w:left w:w="70" w:type="dxa"/>
                <w:bottom w:w="15" w:type="dxa"/>
                <w:right w:w="70" w:type="dxa"/>
              </w:tblCellMar>
            </w:tblPr>
            <w:tblGrid>
              <w:gridCol w:w="1680"/>
              <w:gridCol w:w="1680"/>
              <w:gridCol w:w="1680"/>
            </w:tblGrid>
            <w:tr>
              <w:trPr>
                <w:cantSplit/>
              </w:trPr>
              <w:tc>
                <w:tcPr>
                  <w:tcW w:type="dxa" w:w="2808"/>
                  <w:tcBorders>
                    <w:top w:val="single" w:sz="8" w:color="8A8A8A"/>
                    <w:left w:val="nil"/>
                    <w:bottom w:val="single" w:sz="8" w:color="8A8A8A"/>
                    <w:right w:val="nil"/>
                  </w:tcBorders>
                </w:tcPr>
                <w:p>
                  <w:pPr>
                    <w:keepNext/>
                    <w:spacing w:after="0"/>
                    <w:jc w:val="left"/>
                  </w:pPr>
                  <w:r>
                    <w:rPr>
                      <w:b/>
                      <w:sz w:val="17"/>
                    </w:rPr>
                    <w:t>Seeds 0–4</w:t>
                  </w:r>
                </w:p>
              </w:tc>
              <w:tc>
                <w:tcPr>
                  <w:tcW w:type="dxa" w:w="1080"/>
                  <w:tcBorders>
                    <w:top w:val="single" w:sz="8" w:color="8A8A8A"/>
                    <w:left w:val="nil"/>
                    <w:bottom w:val="single" w:sz="8" w:color="8A8A8A"/>
                    <w:right w:val="nil"/>
                  </w:tcBorders>
                </w:tcPr>
                <w:p>
                  <w:pPr>
                    <w:keepNext/>
                    <w:spacing w:after="0"/>
                    <w:jc w:val="center"/>
                  </w:pPr>
                  <w:r>
                    <w:rPr>
                      <w:b/>
                      <w:sz w:val="17"/>
                    </w:rPr>
                    <w:t>SARSA</w:t>
                  </w:r>
                </w:p>
              </w:tc>
              <w:tc>
                <w:tcPr>
                  <w:tcW w:type="dxa" w:w="1080"/>
                  <w:tcBorders>
                    <w:top w:val="single" w:sz="8" w:color="8A8A8A"/>
                    <w:left w:val="nil"/>
                    <w:bottom w:val="single" w:sz="8" w:color="8A8A8A"/>
                    <w:right w:val="nil"/>
                  </w:tcBorders>
                </w:tcPr>
                <w:p>
                  <w:pPr>
                    <w:keepNext/>
                    <w:spacing w:after="0"/>
                    <w:jc w:val="center"/>
                  </w:pPr>
                  <w:r>
                    <w:rPr>
                      <w:b/>
                      <w:sz w:val="17"/>
                    </w:rPr>
                    <w:t>Q-learning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0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keepNext/>
                    <w:spacing w:after="0"/>
                    <w:jc w:val="left"/>
                  </w:pPr>
                  <w:r>
                    <w:rPr>
                      <w:sz w:val="17"/>
                    </w:rPr>
                    <w:t>Training return (ε = 0.1, learning)</w:t>
                  </w:r>
                </w:p>
              </w:tc>
              <w:tc>
                <w:tcPr>
                  <w:tcW w:type="dxa" w:w="108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keepNext/>
                    <w:spacing w:after="0"/>
                    <w:jc w:val="center"/>
                  </w:pPr>
                  <w:r>
                    <w:rPr>
                      <w:b/>
                      <w:sz w:val="17"/>
                    </w:rPr>
                    <w:t>−23.2 ± 1.8</w:t>
                  </w:r>
                </w:p>
              </w:tc>
              <w:tc>
                <w:tcPr>
                  <w:tcW w:type="dxa" w:w="108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keepNext/>
                    <w:spacing w:after="0"/>
                    <w:jc w:val="center"/>
                  </w:pPr>
                  <w:r>
                    <w:rPr>
                      <w:sz w:val="17"/>
                    </w:rPr>
                    <w:t>−31.7 ± 0.6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0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keepNext/>
                    <w:spacing w:after="0"/>
                    <w:jc w:val="left"/>
                  </w:pPr>
                  <w:r>
                    <w:rPr>
                      <w:sz w:val="17"/>
                    </w:rPr>
                    <w:t>Frozen policy at ε = 0.1 [supp.]</w:t>
                  </w:r>
                </w:p>
              </w:tc>
              <w:tc>
                <w:tcPr>
                  <w:tcW w:type="dxa" w:w="108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keepNext/>
                    <w:spacing w:after="0"/>
                    <w:jc w:val="center"/>
                  </w:pPr>
                  <w:r>
                    <w:rPr>
                      <w:b/>
                      <w:sz w:val="17"/>
                    </w:rPr>
                    <w:t>−20.9 ± 0.9</w:t>
                  </w:r>
                </w:p>
              </w:tc>
              <w:tc>
                <w:tcPr>
                  <w:tcW w:type="dxa" w:w="108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keepNext/>
                    <w:spacing w:after="0"/>
                    <w:jc w:val="center"/>
                  </w:pPr>
                  <w:r>
                    <w:rPr>
                      <w:sz w:val="17"/>
                    </w:rPr>
                    <w:t>−31.7 ± 1.3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0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keepNext/>
                    <w:spacing w:after="0"/>
                    <w:jc w:val="left"/>
                  </w:pPr>
                  <w:r>
                    <w:rPr>
                      <w:sz w:val="17"/>
                    </w:rPr>
                    <w:t>Cliff falls / episode at ε = 0.1 [supp.]</w:t>
                  </w:r>
                </w:p>
              </w:tc>
              <w:tc>
                <w:tcPr>
                  <w:tcW w:type="dxa" w:w="108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keepNext/>
                    <w:spacing w:after="0"/>
                    <w:jc w:val="center"/>
                  </w:pPr>
                  <w:r>
                    <w:rPr>
                      <w:b/>
                      <w:sz w:val="17"/>
                    </w:rPr>
                    <w:t>0.03</w:t>
                  </w:r>
                </w:p>
              </w:tc>
              <w:tc>
                <w:tcPr>
                  <w:tcW w:type="dxa" w:w="108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keepNext/>
                    <w:spacing w:after="0"/>
                    <w:jc w:val="center"/>
                  </w:pPr>
                  <w:r>
                    <w:rPr>
                      <w:sz w:val="17"/>
                    </w:rPr>
                    <w:t>0.24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0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keepNext/>
                    <w:spacing w:after="0"/>
                    <w:jc w:val="left"/>
                  </w:pPr>
                  <w:r>
                    <w:rPr>
                      <w:sz w:val="17"/>
                    </w:rPr>
                    <w:t>Greedy return (ε = 0)</w:t>
                  </w:r>
                </w:p>
              </w:tc>
              <w:tc>
                <w:tcPr>
                  <w:tcW w:type="dxa" w:w="108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keepNext/>
                    <w:spacing w:after="0"/>
                    <w:jc w:val="center"/>
                  </w:pPr>
                  <w:r>
                    <w:rPr>
                      <w:sz w:val="17"/>
                    </w:rPr>
                    <w:t>−16.6 ± 0.8</w:t>
                  </w:r>
                </w:p>
              </w:tc>
              <w:tc>
                <w:tcPr>
                  <w:tcW w:type="dxa" w:w="108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keepNext/>
                    <w:spacing w:after="0"/>
                    <w:jc w:val="center"/>
                  </w:pPr>
                  <w:r>
                    <w:rPr>
                      <w:b/>
                      <w:sz w:val="17"/>
                    </w:rPr>
                    <w:t>−11.0 ± 0.0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08"/>
                  <w:tcBorders>
                    <w:top w:val="nil"/>
                    <w:left w:val="nil"/>
                    <w:bottom w:val="single" w:sz="8" w:color="8A8A8A"/>
                    <w:right w:val="nil"/>
                  </w:tcBorders>
                </w:tcPr>
                <w:p>
                  <w:pPr>
                    <w:keepNext/>
                    <w:spacing w:after="0"/>
                    <w:jc w:val="left"/>
                  </w:pPr>
                  <w:r>
                    <w:rPr>
                      <w:sz w:val="17"/>
                    </w:rPr>
                    <w:t>highest_row</w:t>
                  </w:r>
                </w:p>
              </w:tc>
              <w:tc>
                <w:tcPr>
                  <w:tcW w:type="dxa" w:w="1080"/>
                  <w:tcBorders>
                    <w:top w:val="nil"/>
                    <w:left w:val="nil"/>
                    <w:bottom w:val="single" w:sz="8" w:color="8A8A8A"/>
                    <w:right w:val="nil"/>
                  </w:tcBorders>
                </w:tcPr>
                <w:p>
                  <w:pPr>
                    <w:keepNext/>
                    <w:spacing w:after="0"/>
                    <w:jc w:val="center"/>
                  </w:pPr>
                  <w:r>
                    <w:rPr>
                      <w:sz w:val="17"/>
                    </w:rPr>
                    <w:t>0.2</w:t>
                  </w:r>
                </w:p>
              </w:tc>
              <w:tc>
                <w:tcPr>
                  <w:tcW w:type="dxa" w:w="1080"/>
                  <w:tcBorders>
                    <w:top w:val="nil"/>
                    <w:left w:val="nil"/>
                    <w:bottom w:val="single" w:sz="8" w:color="8A8A8A"/>
                    <w:right w:val="nil"/>
                  </w:tcBorders>
                </w:tcPr>
                <w:p>
                  <w:pPr>
                    <w:keepNext/>
                    <w:spacing w:after="0"/>
                    <w:jc w:val="center"/>
                  </w:pPr>
                  <w:r>
                    <w:rPr>
                      <w:sz w:val="17"/>
                    </w:rPr>
                    <w:t>3.0</w:t>
                  </w:r>
                </w:p>
              </w:tc>
            </w:tr>
          </w:tbl>
          <w:p>
            <w:pPr>
              <w:spacing w:after="120"/>
              <w:jc w:val="left"/>
            </w:pPr>
            <w:r>
              <w:rPr>
                <w:b/>
                <w:color w:val="52514E"/>
                <w:sz w:val="17"/>
              </w:rPr>
              <w:t>Table 3.</w:t>
            </w:r>
            <w:r>
              <w:rPr>
                <w:color w:val="52514E"/>
                <w:sz w:val="17"/>
              </w:rPr>
              <w:t xml:space="preserve"> Mean ± std over seeds; frozen-policy rows average 2,000 episodes per seed.</w:t>
            </w:r>
          </w:p>
        </w:tc>
      </w:tr>
    </w:tbl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35040" cy="16082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fig6_cross_ev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08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b/>
          <w:color w:val="52514E"/>
          <w:sz w:val="17"/>
        </w:rPr>
        <w:t>Figure 6 [supp.].</w:t>
      </w:r>
      <w:r>
        <w:rPr>
          <w:color w:val="52514E"/>
          <w:sz w:val="17"/>
        </w:rPr>
        <w:t xml:space="preserve"> Policies learned at ε = 0.1, frozen and executed at different ε. Q-learning's policy behaves exactly like the DP-optimal one (dashed).</w:t>
      </w:r>
    </w:p>
    <w:p>
      <w:pPr>
        <w:jc w:val="both"/>
      </w:pPr>
      <w:r>
        <w:rPr>
          <w:b/>
        </w:rPr>
        <w:t>What each algorithm is estimating.</w:t>
      </w:r>
      <w:r>
        <w:t xml:space="preserve"> Q-learning is off-policy: it estimates q*, the value of acting optimally with no future random moves. Its greedy policy is therefore optimal once exploration stops, but during training that policy is executed ε-greedily on the most dangerous route (0.24 falls per episode). SARSA is on-policy: it estimates q_π of the ε-greedy policy it actually runs, random moves included, so it tracks the policy that is best </w:t>
      </w:r>
      <w:r>
        <w:rPr>
          <w:i/>
        </w:rPr>
        <w:t>given that it keeps exploring</w:t>
      </w:r>
      <w:r>
        <w:t xml:space="preserve">: a safer route with fewer falls and a better training return, but not the greedy optimum. Neither is wrong; the right choice depends on whether exploration continues when the policy is used. Decaying ε linearly from 0.1 to 0 [supp.] confirms this: Q-learning's training return then reaches −11, equal to its greedy return, while SARSA's training and greedy returns both settle at −16.3 on the detour. With constant α and a finite budget, SARSA's early pessimism about the edge is locked in; reaching the optimum requires GLIE exploration </w:t>
      </w:r>
      <w:r>
        <w:rPr>
          <w:i/>
        </w:rPr>
        <w:t>and</w:t>
      </w:r>
      <w:r>
        <w:t xml:space="preserve"> decreasing step sizes (Singh et al., 2000).</w:t>
      </w:r>
    </w:p>
    <w:p>
      <w:pPr>
        <w:keepNext/>
        <w:spacing w:before="160" w:after="60"/>
      </w:pPr>
      <w:r>
        <w:rPr>
          <w:b/>
          <w:color w:val="1F3864"/>
          <w:sz w:val="25"/>
        </w:rPr>
        <w:t>5  Conclusions</w:t>
      </w:r>
    </w:p>
    <w:p>
      <w:pPr>
        <w:pStyle w:val="ListBullet"/>
        <w:spacing w:after="40"/>
        <w:jc w:val="both"/>
      </w:pPr>
      <w:r>
        <w:rPr>
          <w:b/>
        </w:rPr>
        <w:t>DP:</w:t>
      </w:r>
      <w:r>
        <w:t xml:space="preserve"> PI and VI give identical V* and policies. VI needs 12 sweeps; PI needs 9 rounds but 3,276 evaluation sweeps, because early policies loop and (cold-started) evaluation converges only at rate γ.</w:t>
      </w:r>
    </w:p>
    <w:p>
      <w:pPr>
        <w:pStyle w:val="ListBullet"/>
        <w:spacing w:after="40"/>
        <w:jc w:val="both"/>
      </w:pPr>
      <w:r>
        <w:rPr>
          <w:b/>
        </w:rPr>
        <w:t>On- vs off-policy:</w:t>
      </w:r>
      <w:r>
        <w:t xml:space="preserve"> Q-learning learns q* and the edge path (highest_row 3.0, return −11). SARSA learns the value of its ε-greedy behaviour and prices in the 2.5 % per-step fall risk; that alone moves it one row up (q*_ε: row 2, −13), and the constant α = 0.5 adds the rest (highest_row 0.2, return −16.6).</w:t>
      </w:r>
    </w:p>
    <w:p>
      <w:pPr>
        <w:pStyle w:val="ListBullet"/>
        <w:spacing w:after="40"/>
        <w:jc w:val="both"/>
      </w:pPr>
      <w:r>
        <w:rPr>
          <w:b/>
        </w:rPr>
        <w:t>ε:</w:t>
      </w:r>
      <w:r>
        <w:t xml:space="preserve"> higher ε raises falls and lowers training return, far more for Q-learning, and makes SARSA's greedy policy less reliable (98.6 % → 60.6 %), a step-size effect that vanishes with α = 0.1. Very small ε reverses the training-return ranking and starves SARSA of the exploration it needs to revise early estimates.</w:t>
      </w:r>
    </w:p>
    <w:p>
      <w:pPr>
        <w:pStyle w:val="ListBullet"/>
        <w:spacing w:after="40"/>
        <w:jc w:val="both"/>
      </w:pPr>
      <w:r>
        <w:rPr>
          <w:b/>
        </w:rPr>
        <w:t>Training vs greedy:</w:t>
      </w:r>
      <w:r>
        <w:t xml:space="preserve"> SARSA wins while exploring (−20.9 vs −31.7 at ε = 0.1), Q-learning wins without exploration (−11.0 vs −16.6); the crossover is near ε ≈ 0.04.</w:t>
      </w:r>
    </w:p>
    <w:p>
      <w:pPr>
        <w:spacing w:after="60"/>
        <w:jc w:val="both"/>
      </w:pPr>
      <w:r>
        <w:rPr>
          <w:b/>
          <w:sz w:val="18"/>
        </w:rPr>
        <w:t>Limitations.</w:t>
      </w:r>
      <w:r>
        <w:rPr>
          <w:sz w:val="18"/>
        </w:rPr>
        <w:t xml:space="preserve"> Graded results use 5 seeds (supplementary runs use 20). α is constant, so SARSA does not converge and its final greedy policy is a snapshot of a moving estimate. All findings come from one small deterministic environment. Further supplementary figures (PI/VI convergence trace, learning curves per ε, decaying-ε and 20,000-episode runs) are in figures/extra_*.png.</w:t>
      </w:r>
    </w:p>
    <w:p>
      <w:pPr>
        <w:jc w:val="both"/>
      </w:pPr>
      <w:r>
        <w:rPr>
          <w:b/>
          <w:sz w:val="18"/>
        </w:rPr>
        <w:t>References.</w:t>
      </w:r>
      <w:r>
        <w:rPr>
          <w:sz w:val="18"/>
        </w:rPr>
        <w:t xml:space="preserve"> R. S. Sutton &amp; A. G. Barto (2018), </w:t>
      </w:r>
      <w:r>
        <w:rPr>
          <w:i/>
          <w:sz w:val="18"/>
        </w:rPr>
        <w:t>Reinforcement Learning: An Introduction</w:t>
      </w:r>
      <w:r>
        <w:rPr>
          <w:sz w:val="18"/>
        </w:rPr>
        <w:t xml:space="preserve">, 2nd ed., Example 6.6. S. Singh, T. Jaakkola, M. L. Littman &amp; C. Szepesvári (2000), Convergence results for single-step on-policy RL algorithms, </w:t>
      </w:r>
      <w:r>
        <w:rPr>
          <w:i/>
          <w:sz w:val="18"/>
        </w:rPr>
        <w:t>Machine Learning</w:t>
      </w:r>
      <w:r>
        <w:rPr>
          <w:sz w:val="18"/>
        </w:rPr>
        <w:t xml:space="preserve"> 38:287–308.</w:t>
      </w:r>
    </w:p>
    <w:sectPr w:rsidR="00FC693F" w:rsidRPr="0006063C" w:rsidSect="00034616">
      <w:footerReference w:type="default" r:id="rId15"/>
      <w:pgSz w:w="11906" w:h="16838"/>
      <w:pgMar w:top="907" w:right="992" w:bottom="850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514E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