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94F50" w14:textId="77777777" w:rsidR="004C5A1E" w:rsidRPr="00F85F68" w:rsidRDefault="004C5A1E" w:rsidP="004C5A1E">
      <w:pPr>
        <w:rPr>
          <w:b/>
          <w:bCs/>
          <w:sz w:val="32"/>
          <w:szCs w:val="32"/>
        </w:rPr>
      </w:pPr>
      <w:r w:rsidRPr="00F85F68">
        <w:rPr>
          <w:b/>
          <w:bCs/>
          <w:sz w:val="32"/>
          <w:szCs w:val="32"/>
        </w:rPr>
        <w:t>CUSTOMER CHURN — EXECUTIVE SUMMARY</w:t>
      </w:r>
    </w:p>
    <w:p w14:paraId="14549D29" w14:textId="77777777" w:rsidR="004C5A1E" w:rsidRDefault="004C5A1E" w:rsidP="004C5A1E">
      <w:pPr>
        <w:rPr>
          <w:b/>
          <w:bCs/>
        </w:rPr>
      </w:pPr>
      <w:r w:rsidRPr="004C5A1E">
        <w:rPr>
          <w:b/>
          <w:bCs/>
        </w:rPr>
        <w:t>Power BI Customer Churn Executive Dashboard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41F29" w14:paraId="20966E6D" w14:textId="77777777" w:rsidTr="004B3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2F3F546" w14:textId="0F369F8B" w:rsidR="00741F29" w:rsidRPr="00741F29" w:rsidRDefault="00741F29" w:rsidP="004C5A1E">
            <w:pPr>
              <w:rPr>
                <w:b w:val="0"/>
                <w:bCs w:val="0"/>
              </w:rPr>
            </w:pPr>
            <w:r>
              <w:t>Total Customers</w:t>
            </w:r>
          </w:p>
        </w:tc>
        <w:tc>
          <w:tcPr>
            <w:tcW w:w="1803" w:type="dxa"/>
          </w:tcPr>
          <w:p w14:paraId="441578CA" w14:textId="3578D5E4" w:rsidR="00741F29" w:rsidRPr="00741F29" w:rsidRDefault="00741F29" w:rsidP="004C5A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Churned Customers</w:t>
            </w:r>
          </w:p>
        </w:tc>
        <w:tc>
          <w:tcPr>
            <w:tcW w:w="1803" w:type="dxa"/>
          </w:tcPr>
          <w:p w14:paraId="06C7BF9E" w14:textId="120A7C2D" w:rsidR="00741F29" w:rsidRPr="00741F29" w:rsidRDefault="00741F29" w:rsidP="004C5A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Churn Rate</w:t>
            </w:r>
          </w:p>
        </w:tc>
        <w:tc>
          <w:tcPr>
            <w:tcW w:w="1803" w:type="dxa"/>
          </w:tcPr>
          <w:p w14:paraId="380EC8E5" w14:textId="55F2F59A" w:rsidR="00741F29" w:rsidRPr="00741F29" w:rsidRDefault="00741F29" w:rsidP="004C5A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Avg. Tenure (months)</w:t>
            </w:r>
          </w:p>
        </w:tc>
        <w:tc>
          <w:tcPr>
            <w:tcW w:w="1804" w:type="dxa"/>
          </w:tcPr>
          <w:p w14:paraId="2A3DD162" w14:textId="7C3D984E" w:rsidR="00741F29" w:rsidRPr="00741F29" w:rsidRDefault="00741F29" w:rsidP="004C5A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Avg. Monthly Charges</w:t>
            </w:r>
          </w:p>
        </w:tc>
      </w:tr>
      <w:tr w:rsidR="00741F29" w14:paraId="2C0F82A5" w14:textId="77777777" w:rsidTr="004B3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6170C8F" w14:textId="42C9FEE2" w:rsidR="00741F29" w:rsidRPr="00741F29" w:rsidRDefault="00741F29" w:rsidP="004C5A1E">
            <w:pPr>
              <w:rPr>
                <w:b w:val="0"/>
                <w:bCs w:val="0"/>
              </w:rPr>
            </w:pPr>
            <w:r>
              <w:t>7,043</w:t>
            </w:r>
          </w:p>
        </w:tc>
        <w:tc>
          <w:tcPr>
            <w:tcW w:w="1803" w:type="dxa"/>
          </w:tcPr>
          <w:p w14:paraId="7D49B64B" w14:textId="40F8956B" w:rsidR="00741F29" w:rsidRPr="00741F29" w:rsidRDefault="00741F29" w:rsidP="004C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1,869</w:t>
            </w:r>
          </w:p>
        </w:tc>
        <w:tc>
          <w:tcPr>
            <w:tcW w:w="1803" w:type="dxa"/>
          </w:tcPr>
          <w:p w14:paraId="0FE34E1D" w14:textId="39EDF7C7" w:rsidR="00741F29" w:rsidRPr="00741F29" w:rsidRDefault="00741F29" w:rsidP="004C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26.54%</w:t>
            </w:r>
          </w:p>
        </w:tc>
        <w:tc>
          <w:tcPr>
            <w:tcW w:w="1803" w:type="dxa"/>
          </w:tcPr>
          <w:p w14:paraId="1E38738C" w14:textId="01E7E447" w:rsidR="00741F29" w:rsidRPr="00741F29" w:rsidRDefault="00741F29" w:rsidP="004C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32.37</w:t>
            </w:r>
          </w:p>
        </w:tc>
        <w:tc>
          <w:tcPr>
            <w:tcW w:w="1804" w:type="dxa"/>
          </w:tcPr>
          <w:p w14:paraId="76B5807F" w14:textId="1CEF499E" w:rsidR="00741F29" w:rsidRPr="00741F29" w:rsidRDefault="00741F29" w:rsidP="004C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64.76</w:t>
            </w:r>
          </w:p>
        </w:tc>
      </w:tr>
    </w:tbl>
    <w:p w14:paraId="7D1DCBFB" w14:textId="77777777" w:rsidR="00741F29" w:rsidRPr="004C5A1E" w:rsidRDefault="00741F29" w:rsidP="004C5A1E">
      <w:pPr>
        <w:rPr>
          <w:b/>
          <w:bCs/>
        </w:rPr>
      </w:pPr>
    </w:p>
    <w:p w14:paraId="14603926" w14:textId="77777777" w:rsidR="004C5A1E" w:rsidRPr="00741F29" w:rsidRDefault="004C5A1E" w:rsidP="004C5A1E">
      <w:pPr>
        <w:rPr>
          <w:b/>
          <w:bCs/>
          <w:sz w:val="28"/>
          <w:szCs w:val="28"/>
          <w:u w:val="single"/>
        </w:rPr>
      </w:pPr>
      <w:r w:rsidRPr="00741F29">
        <w:rPr>
          <w:b/>
          <w:bCs/>
          <w:sz w:val="28"/>
          <w:szCs w:val="28"/>
          <w:u w:val="single"/>
        </w:rPr>
        <w:t>1. Key Findings</w:t>
      </w:r>
    </w:p>
    <w:p w14:paraId="4A7D291E" w14:textId="77777777" w:rsidR="004C5A1E" w:rsidRPr="00741F29" w:rsidRDefault="004C5A1E" w:rsidP="004C5A1E">
      <w:pPr>
        <w:rPr>
          <w:b/>
          <w:bCs/>
        </w:rPr>
      </w:pPr>
      <w:r w:rsidRPr="00741F29">
        <w:rPr>
          <w:b/>
          <w:bCs/>
        </w:rPr>
        <w:t>Overall churn</w:t>
      </w:r>
    </w:p>
    <w:p w14:paraId="3E9F3439" w14:textId="77777777" w:rsidR="004C5A1E" w:rsidRDefault="004C5A1E" w:rsidP="004C5A1E">
      <w:r>
        <w:t>Overall observed churn is 26.54%, representing 1,869 of 7,043 customers.</w:t>
      </w:r>
    </w:p>
    <w:p w14:paraId="7CA33DC1" w14:textId="77777777" w:rsidR="004C5A1E" w:rsidRPr="00741F29" w:rsidRDefault="004C5A1E" w:rsidP="004C5A1E">
      <w:pPr>
        <w:rPr>
          <w:b/>
          <w:bCs/>
        </w:rPr>
      </w:pPr>
      <w:r w:rsidRPr="00741F29">
        <w:rPr>
          <w:b/>
          <w:bCs/>
        </w:rPr>
        <w:t>Top 3 churn risk patterns</w:t>
      </w:r>
    </w:p>
    <w:p w14:paraId="1D850728" w14:textId="77777777" w:rsidR="004C5A1E" w:rsidRDefault="004C5A1E" w:rsidP="004C5A1E">
      <w:r>
        <w:t>New customers (0–12 months) had the highest observed churn rate at 47.44%, followed by Electronic Check at 45.29% and Month-to-Month contracts at 42.71%.</w:t>
      </w:r>
    </w:p>
    <w:p w14:paraId="13704EB1" w14:textId="77777777" w:rsidR="004C5A1E" w:rsidRPr="00741F29" w:rsidRDefault="004C5A1E" w:rsidP="004C5A1E">
      <w:pPr>
        <w:rPr>
          <w:b/>
          <w:bCs/>
        </w:rPr>
      </w:pPr>
      <w:r w:rsidRPr="00741F29">
        <w:rPr>
          <w:b/>
          <w:bCs/>
        </w:rPr>
        <w:t>Other notable pattern</w:t>
      </w:r>
    </w:p>
    <w:p w14:paraId="5687A8E0" w14:textId="77777777" w:rsidR="004C5A1E" w:rsidRDefault="004C5A1E" w:rsidP="004C5A1E">
      <w:r>
        <w:t>Fiber Optic customers had 41.89% observed churn, suggesting another set of customer segments that could require further investigation.</w:t>
      </w:r>
    </w:p>
    <w:p w14:paraId="2D668BA4" w14:textId="77777777" w:rsidR="004C5A1E" w:rsidRPr="00741F29" w:rsidRDefault="004C5A1E" w:rsidP="004C5A1E">
      <w:pPr>
        <w:rPr>
          <w:b/>
          <w:bCs/>
        </w:rPr>
      </w:pPr>
      <w:r w:rsidRPr="00741F29">
        <w:rPr>
          <w:b/>
          <w:bCs/>
        </w:rPr>
        <w:t>Customer segment value</w:t>
      </w:r>
    </w:p>
    <w:p w14:paraId="5207EC7E" w14:textId="77777777" w:rsidR="004C5A1E" w:rsidRDefault="004C5A1E" w:rsidP="004C5A1E">
      <w:r>
        <w:t>Single customers represent the largest segment with 34.24% observed churn. Partner Only customers contributed the highest historical charges at approximately 5.51M (34.3%).</w:t>
      </w:r>
    </w:p>
    <w:p w14:paraId="1508766B" w14:textId="77777777" w:rsidR="004C5A1E" w:rsidRPr="00741F29" w:rsidRDefault="004C5A1E" w:rsidP="004C5A1E">
      <w:pPr>
        <w:rPr>
          <w:b/>
          <w:bCs/>
        </w:rPr>
      </w:pPr>
      <w:r w:rsidRPr="00741F29">
        <w:rPr>
          <w:b/>
          <w:bCs/>
        </w:rPr>
        <w:t>Lower-risk segment</w:t>
      </w:r>
    </w:p>
    <w:p w14:paraId="00B395C8" w14:textId="77777777" w:rsidR="004C5A1E" w:rsidRDefault="004C5A1E" w:rsidP="004C5A1E">
      <w:r>
        <w:t>Compared to core customer segments, Family customers had the lowest observed churn at 14.24%.</w:t>
      </w:r>
    </w:p>
    <w:p w14:paraId="0485C1E6" w14:textId="77777777" w:rsidR="004C5A1E" w:rsidRPr="00741F29" w:rsidRDefault="004C5A1E" w:rsidP="004C5A1E">
      <w:pPr>
        <w:rPr>
          <w:b/>
          <w:bCs/>
          <w:sz w:val="28"/>
          <w:szCs w:val="28"/>
          <w:u w:val="single"/>
        </w:rPr>
      </w:pPr>
      <w:r w:rsidRPr="00741F29">
        <w:rPr>
          <w:b/>
          <w:bCs/>
          <w:sz w:val="28"/>
          <w:szCs w:val="28"/>
          <w:u w:val="single"/>
        </w:rPr>
        <w:t>2. Assumptions &amp; Data Treatment</w:t>
      </w:r>
    </w:p>
    <w:p w14:paraId="1A6C366D" w14:textId="77777777" w:rsidR="004C5A1E" w:rsidRDefault="004C5A1E" w:rsidP="004C5A1E">
      <w:r>
        <w:t>• Customer Segment is inferred from Partner and Dependents as no source segment field was provided: Family, Partner Only, Dependent Only, and Single.</w:t>
      </w:r>
    </w:p>
    <w:p w14:paraId="4470B677" w14:textId="77777777" w:rsidR="004C5A1E" w:rsidRDefault="004C5A1E" w:rsidP="004C5A1E">
      <w:r>
        <w:t>• Tenure Group is assigned according to the assessment bands: New (0–12), Developing (13–36), Loyal (37–60), and Champions (&gt;60 months).</w:t>
      </w:r>
    </w:p>
    <w:p w14:paraId="3314DD03" w14:textId="7D537895" w:rsidR="004C5A1E" w:rsidRDefault="004C5A1E" w:rsidP="004C5A1E">
      <w:r>
        <w:t>• Total</w:t>
      </w:r>
      <w:r w:rsidR="00741F29">
        <w:t xml:space="preserve"> </w:t>
      </w:r>
      <w:r>
        <w:t>Charges reflects historical customer charges and not accounting revenue; blank Total</w:t>
      </w:r>
      <w:r w:rsidR="00741F29">
        <w:t xml:space="preserve"> </w:t>
      </w:r>
      <w:r>
        <w:t>Charges values are retained as blank/null.</w:t>
      </w:r>
    </w:p>
    <w:p w14:paraId="426F89B7" w14:textId="77777777" w:rsidR="004C5A1E" w:rsidRDefault="004C5A1E" w:rsidP="004C5A1E">
      <w:r>
        <w:t>• Churn analysis reflects observed patterns/associations within the provided data and does not infer causality between variables.</w:t>
      </w:r>
    </w:p>
    <w:p w14:paraId="4C031236" w14:textId="77777777" w:rsidR="004C5A1E" w:rsidRPr="00741F29" w:rsidRDefault="004C5A1E" w:rsidP="004C5A1E">
      <w:pPr>
        <w:rPr>
          <w:b/>
          <w:bCs/>
          <w:sz w:val="28"/>
          <w:szCs w:val="28"/>
          <w:u w:val="single"/>
        </w:rPr>
      </w:pPr>
      <w:r w:rsidRPr="00741F29">
        <w:rPr>
          <w:b/>
          <w:bCs/>
          <w:sz w:val="28"/>
          <w:szCs w:val="28"/>
          <w:u w:val="single"/>
        </w:rPr>
        <w:lastRenderedPageBreak/>
        <w:t>3. Recommendations</w:t>
      </w:r>
    </w:p>
    <w:p w14:paraId="2CDE8E90" w14:textId="77777777" w:rsidR="004C5A1E" w:rsidRPr="00741F29" w:rsidRDefault="004C5A1E" w:rsidP="004C5A1E">
      <w:pPr>
        <w:rPr>
          <w:b/>
          <w:bCs/>
        </w:rPr>
      </w:pPr>
      <w:r w:rsidRPr="00741F29">
        <w:rPr>
          <w:b/>
          <w:bCs/>
        </w:rPr>
        <w:t>Strengthen early-life retention</w:t>
      </w:r>
    </w:p>
    <w:p w14:paraId="71100832" w14:textId="77777777" w:rsidR="004C5A1E" w:rsidRDefault="004C5A1E" w:rsidP="004C5A1E">
      <w:r>
        <w:t>Focus on onboarding, proactive engagement and service follow-up for customers within their first 12 months.</w:t>
      </w:r>
    </w:p>
    <w:p w14:paraId="0F1756DC" w14:textId="77777777" w:rsidR="004C5A1E" w:rsidRPr="00741F29" w:rsidRDefault="004C5A1E" w:rsidP="004C5A1E">
      <w:pPr>
        <w:rPr>
          <w:b/>
          <w:bCs/>
        </w:rPr>
      </w:pPr>
      <w:r w:rsidRPr="00741F29">
        <w:rPr>
          <w:b/>
          <w:bCs/>
        </w:rPr>
        <w:t>Review contract conversion</w:t>
      </w:r>
    </w:p>
    <w:p w14:paraId="0D6BF098" w14:textId="77777777" w:rsidR="004C5A1E" w:rsidRDefault="004C5A1E" w:rsidP="004C5A1E">
      <w:r>
        <w:t>Identify suitable month-to-month customers for targeted longer-term contract offers or retention incentives.</w:t>
      </w:r>
    </w:p>
    <w:p w14:paraId="00F9B351" w14:textId="77777777" w:rsidR="004C5A1E" w:rsidRPr="00741F29" w:rsidRDefault="004C5A1E" w:rsidP="004C5A1E">
      <w:pPr>
        <w:rPr>
          <w:b/>
          <w:bCs/>
        </w:rPr>
      </w:pPr>
      <w:r w:rsidRPr="00741F29">
        <w:rPr>
          <w:b/>
          <w:bCs/>
        </w:rPr>
        <w:t>Investigate payment experience</w:t>
      </w:r>
    </w:p>
    <w:p w14:paraId="0660D178" w14:textId="77777777" w:rsidR="004C5A1E" w:rsidRDefault="004C5A1E" w:rsidP="004C5A1E">
      <w:r>
        <w:t>Review the electronic-check journey for billing, payment or customer-experience issues associated with higher observed churn.</w:t>
      </w:r>
    </w:p>
    <w:p w14:paraId="4B508E0F" w14:textId="77777777" w:rsidR="004C5A1E" w:rsidRPr="00741F29" w:rsidRDefault="004C5A1E" w:rsidP="004C5A1E">
      <w:pPr>
        <w:rPr>
          <w:b/>
          <w:bCs/>
        </w:rPr>
      </w:pPr>
      <w:r w:rsidRPr="00741F29">
        <w:rPr>
          <w:b/>
          <w:bCs/>
        </w:rPr>
        <w:t>Prioritize by risk and value</w:t>
      </w:r>
    </w:p>
    <w:p w14:paraId="6C66B3E4" w14:textId="77777777" w:rsidR="004C5A1E" w:rsidRDefault="004C5A1E" w:rsidP="004C5A1E">
      <w:r>
        <w:t>Prioritize retention investment according to segment churn risk and consider commercial prioritization according to historical customer charges.</w:t>
      </w:r>
    </w:p>
    <w:p w14:paraId="018034DF" w14:textId="3B1015A2" w:rsidR="002F29FA" w:rsidRPr="004C5A1E" w:rsidRDefault="004C5A1E" w:rsidP="004C5A1E">
      <w:r>
        <w:t>Source: Telecom customer churn dataset analyzed in the accompanying Power BI report. Figures reflect the current model and measures in the referenced dashboard.</w:t>
      </w:r>
    </w:p>
    <w:sectPr w:rsidR="002F29FA" w:rsidRPr="004C5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1E"/>
    <w:rsid w:val="002C632B"/>
    <w:rsid w:val="002F29FA"/>
    <w:rsid w:val="004B368C"/>
    <w:rsid w:val="004C5A1E"/>
    <w:rsid w:val="00741F29"/>
    <w:rsid w:val="007B07A8"/>
    <w:rsid w:val="00830126"/>
    <w:rsid w:val="00F8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5E808"/>
  <w15:chartTrackingRefBased/>
  <w15:docId w15:val="{FFEF8D5E-1166-4ADC-9377-4E17B28B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A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1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4B368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314</Words>
  <Characters>2007</Characters>
  <Application>Microsoft Office Word</Application>
  <DocSecurity>0</DocSecurity>
  <Lines>57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Sehrish Saqlain</dc:creator>
  <cp:keywords/>
  <dc:description/>
  <cp:lastModifiedBy>Sehrish Saqlain</cp:lastModifiedBy>
  <cp:revision>3</cp:revision>
  <dcterms:created xsi:type="dcterms:W3CDTF">2026-10-04T15:20:00Z</dcterms:created>
  <dcterms:modified xsi:type="dcterms:W3CDTF">2026-10-04T15:49:00Z</dcterms:modified>
</cp:coreProperties>
</file>