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Sumário Executivo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tese central de Luciane D’Avila desloca o eixo do debate: o problema brasileiro de saúde materno-infantil não é de recursos, é de arquitetura institucional. Nenhuma política pública obstétrica brasileira (PNAISM, Rede Cegonha, Rede Alyne) moveu indicadores principais porque nenhuma alterou a coordenação do cuidado. A proposta da Reforma Obstétrica redistribui a autoridade clínica: enfermeiras obstétricas e obstetrizes coordenam o risco habitual; obstetras atuam na retaguarda das complicações. A OMS estima que 10% de aumento na cobertura por enfermeiras obstétricas com autonomia plena evitaria 23% das mortes maternas e neonatais. Manifesto entregue ao Ministério da Saúde em 2025; audiência pública no Congresso; articulação com COFEN em curso. A pauta deixou de ser exclusiva de movimentos sociais e ganhou densidade técnico-política — profissionais plenos da área se posicionarão profissionalmente nos próximos cinco anos, por adesão, por omissão ou por resistência.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Sobre a Palestrante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Luciane da Silva D’Avila é enfermeira obstétrica de Santa Catarina e Presidente da ABENFO Nacional. Integra a Comissão de Parto Domiciliar Planejado da ABENFO-SC. Liderou a entrega do Manifesto pela Reforma Obstétrica ao Ministério da Saúde em 2025 e coordena a expansão da formação nacional de enfermeiras obstétricas.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Referências: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abenfo.org.br · abenfosantacatarina.com.br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Estado da Prática vs. Proposta da Reforma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Comparativo direto entre o modelo brasileiro vigente e o modelo proposto pela Reforma Obstétrica: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60"/>
        <w:gridCol w:w="3600"/>
        <w:tblGridChange w:id="0">
          <w:tblGrid>
            <w:gridCol w:w="2400"/>
            <w:gridCol w:w="33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Coordenação clínica de risco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Médica obstétrica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Enfermeira obstétrica / obstetriz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Local predominante do parto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Hospital terciário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CPN, casa de parto, domicílio planejado, hospital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Postura clínica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Intervencionista — parto como evento de alto risco por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Fisiológica — intervenção precisa ser justificada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Vínculo gestante-profissional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Fragmentado por plantão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Continuidade do pré-natal ao puerpério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Lógica de 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Pagamento por procedimento (incentiva intervenção)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Pagamento por episódio de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Taxa de cesarianas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~59% (vice-mundial)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15-20% (parâmetro OMS)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Hierarquia médica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Interdisciplinar com liderança definida por classificação de 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Autoridade decisória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Médico decide, equipe executa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Decisão compartilhada com gestante; profissional líder por nível de risco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Indicadores brasileiros que sintetizam o problema atual: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taxa de cesariana ~59%; mortalidade materna ~60/100k (ODS 2030: 30/100k); adequação pré-natal em mulheres negras ~8%; gestações não planejadas ~55%; uso de contraceptivos de longa duração ~2%.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Implicações para Sua Prática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Como a Reforma afeta concretamente cada papel profissional: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Enfermeira obstétrica em UBS / atenção 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Ampliação efetiva de escopo no pré-natal de risco habitual e planejamento reprodutivo (DIU, Implanon).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protocolos institucionais claros de classificação de risco e encaminhamento.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Liderança em grupos educativos com gestantes — agora reconhecida como cuidado clínico.</w:t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Enfermeira obstétrica em maternidade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Possibilidade de liderança clínica em CPNs anexos, com governança própria.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Renegociação ativa de fluxos com corpo médico — protocolos pactuados de transferência.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clínica robustecida como instrumento de proteção profissional.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continuada em emergência obstétrica torna-se obrigatória.</w:t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Obstetra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crescente em alto risco — onde a especialização médica gera valor diferencial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Liberação de agenda para casos complexos.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Postura colaborativa com enfermagem obstétrica torna-se ativo de carreira.</w:t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Gestor de unidade obstétrica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de governança clínica — quem decide o quê em cada classificação de risco, com auditoria.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estratificados por raça/cor; satisfação da gestante; taxa de transferência intra-parto.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institucional clara sobre judicialização e respaldo jurídico à equipe.</w:t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Saúde coletiva / vigilância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indicadores estratificados por raça/cor — ponto cego em muitos territórios.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Mapeamento de vazios assistenciais para cuidado por enfermagem obstétrica.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Articulação intersetorial com educação (formação) e regulação (COFEN).</w:t>
      </w:r>
    </w:p>
    <w:p w:rsidR="00000000" w:rsidDel="00000000" w:rsidP="00000000" w:rsidRDefault="00000000" w:rsidRPr="00000000" w14:paraId="00000042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Stakeholders e Forças em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Configuração de atores e suas posições: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307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Motivação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ABENFO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Protagonista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Reconhecimento profissional, ampliação de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COFEN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Apoio cauteloso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Hesitação em normativas avançadas (parto domiciliar)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Movimentos pelo parto humanizado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Apoio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Direitos das mulheres, fim da violência obstétrica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FEBRASGO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Resistência 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Defesa do papel do obstetra; preocupação corporativa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CFM / 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Resistência cautelosa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Disputa pela definição de "atos médicos"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Recebe Manifesto; capacidade limitada de coerção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Posição 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Saúde suplementar é o "elefante na sala"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Operadoras de 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Resistência implícita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Cesarianas eletivas são produto rentável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Leitura estratégica: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há base técnica sólida e mobilização social. A resistência se concentra em quatro pontos — FEBRASGO, CFM, operadoras e parte do COFEN. A vitória da Reforma virá de reconfigurar essas resistências, não de derrotá-las: arranjos onde obstetras se sintam valorizados (alto risco), operadoras enxerguem custo-efetividade (CPNs e parto fisiológico) e COFEN encontre confiança técnica para avançar normativas.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Pontos Críticos a Observar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Riscos de implementação e lacunas a monitorar: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parcial: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autonomia formal sem retaguarda médica ou protocolo de transferência produz desfechos piores que o status quo. A transição precisa ser sistêmica.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de "midwife-washing":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discurso adotado, prática mantida. Indicadores de auditoria precisam ser claros — taxa de cesariana, episiotomia, satisfação da gestante.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Tensão público-privado: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avanços apenas no SUS, sem regulação da ANS, criam assimetria de qualidade.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Gargalo de formação: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expandir escopo sem expandir oferta de pós-graduação esgota força de trabalho existente.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 de evidência brasileira: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estudos comparativos longitudinais nacionais e análises de custo-efetividade brasileiras são insumo necessário para convencer gestores SUS.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Debate em aberto sobre parto domiciliar: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normativa COFEN nacional, segue como prática regional heterogênea.</w:t>
      </w:r>
    </w:p>
    <w:p w:rsidR="00000000" w:rsidDel="00000000" w:rsidP="00000000" w:rsidRDefault="00000000" w:rsidRPr="00000000" w14:paraId="0000006B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Movimentos Estratégicos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Decisões que profissionais plenos podem tomar agora: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De carreira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Especialização em Enfermagem Obstétrica — janela de oportunidade real, demanda crescente para os próximos 5 anos.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contínua nas referências centrais: NICE Guidelines, OMS Modelo de Transição Obstétrica (2024), Lancet Series on Midwifery.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Construção de portfólio profissional documentando atuação, casos e indicadores de qualidade.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De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clínica robusta como proteção profissional em cenário de ampliação de autonomia.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continuada em emergência obstétrica — não negociável.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de protocolos pactuados por escrito em qualquer unidade onde atue.</w:t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De engajamento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Filiação ativa à ABENFO — a Reforma é articulada por entidade.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Participação em comissões locais (mortalidade materna, conselhos de saúde).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Diálogo construtivo com corpo médico — postura colaborativa-com-papéis-definidos vence postura confrontativa.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com a sociedade — divulgação científica e mídia como parte do ativismo profissional.</w:t>
      </w:r>
    </w:p>
    <w:p w:rsidR="00000000" w:rsidDel="00000000" w:rsidP="00000000" w:rsidRDefault="00000000" w:rsidRPr="00000000" w14:paraId="0000007D">
      <w:pPr>
        <w:pStyle w:val="Heading1"/>
        <w:spacing w:after="2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6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32"/>
          <w:szCs w:val="32"/>
          <w:rtl w:val="0"/>
        </w:rPr>
        <w:t xml:space="preserve">Recursos Selecionados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Conjunto enxuto de referências para profissional pleno: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Documentos centrais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Transição Obstétrica — OMS, 2024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Lancet Series on Midwifery — 2014 e atualizações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Guidelines NG194 (Antenatal care) e CG190 (Intrapartum care)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"Nascer no Brasil" — Fiocruz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Manifesto pela Reforma Obstétrica — ABENFO + entidades, 2025</w:t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Periódicos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Cadernos de Saúde Pública (Fiocruz) · Revista Brasileira de Enfermagem · BMC Pregnancy and Childbirth · Birth · Midwifery (Elsevier)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Pós-graduação em Enfermagem Obstétrica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Fiocruz/EPSJV (RJ) · UNIFESP · UERJ · UFMG · USP-RP · UFSC</w:t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Eventos profissionais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SIAPARTO · Congresso Brasileiro de Enfermagem Obstétrica e Neonatal (ABENFO) · Congresso ICM (bienal)</w:t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b3073"/>
          <w:sz w:val="24"/>
          <w:szCs w:val="24"/>
          <w:rtl w:val="0"/>
        </w:rPr>
        <w:t xml:space="preserve">Redes profissionais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ABENFO Nacional e seccionais · Rede Feminista de Saúde · Brasco · ReUna · ICM internacional</w:t>
      </w:r>
    </w:p>
    <w:p w:rsidR="00000000" w:rsidDel="00000000" w:rsidP="00000000" w:rsidRDefault="00000000" w:rsidRPr="00000000" w14:paraId="00000093">
      <w:pPr>
        <w:pBdr>
          <w:bottom w:color="9483bf" w:space="4" w:sz="8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9483bf" w:space="4" w:sz="8" w:val="single"/>
        </w:pBdr>
        <w:spacing w:after="12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bottom w:color="9483bf" w:space="4" w:sz="8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0"/>
        <w:gridCol w:w="4000"/>
        <w:gridCol w:w="2560"/>
        <w:tblGridChange w:id="0">
          <w:tblGrid>
            <w:gridCol w:w="2800"/>
            <w:gridCol w:w="4000"/>
            <w:gridCol w:w="25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2000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20"/>
                <w:szCs w:val="20"/>
                <w:rtl w:val="0"/>
              </w:rPr>
              <w:t xml:space="preserve">Livebooks Inteligentes para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O Segundo Cérebro dos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www.scribia.app.br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32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color="9483bf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6"/>
        <w:szCs w:val="16"/>
        <w:rtl w:val="0"/>
      </w:rPr>
      <w:t xml:space="preserve">Livebook gerado pelo ScribIA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 ·  Versão Pleno CompactoPágina </w:t>
    </w: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rHeight w:val="15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0.0" w:type="dxa"/>
            <w:bottom w:w="4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C">
          <w:pPr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857375" cy="32385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73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0.0" w:type="dxa"/>
            <w:bottom w:w="4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D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57250" cy="8382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spacing w:after="40" w:before="8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2b3073"/>
        <w:sz w:val="26"/>
        <w:szCs w:val="26"/>
        <w:rtl w:val="0"/>
      </w:rPr>
      <w:t xml:space="preserve">A Reforma Obstétrica no Brasil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Bdr>
        <w:bottom w:color="9483bf" w:space="6" w:sz="6" w:val="single"/>
      </w:pBdr>
      <w:spacing w:after="60" w:before="0" w:lineRule="auto"/>
      <w:jc w:val="center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8"/>
        <w:szCs w:val="18"/>
        <w:rtl w:val="0"/>
      </w:rPr>
      <w:t xml:space="preserve">Luciane da Silva D’Avila  ·  SIAPARTO  ·  São Paulo / SP ·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2b307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2b307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