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A5F"/>
          <w:sz w:val="46"/>
        </w:rPr>
        <w:t>Tool Disclosure</w:t>
      </w:r>
    </w:p>
    <w:p>
      <w:pPr>
        <w:spacing w:after="160"/>
      </w:pPr>
      <w:r>
        <w:rPr>
          <w:color w:val="5A6470"/>
          <w:sz w:val="23"/>
        </w:rPr>
        <w:t>PyMentor Personalized Python Tutor</w:t>
      </w:r>
    </w:p>
    <w:p>
      <w:pPr>
        <w:spacing w:after="200"/>
      </w:pPr>
      <w:r>
        <w:rPr>
          <w:b/>
          <w:sz w:val="20"/>
        </w:rPr>
        <w:t>Seif Mohamed (202301506) | Patrick Saweris (202301486)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Tool / data</w:t>
            </w:r>
          </w:p>
        </w:tc>
        <w:tc>
          <w:tcPr>
            <w:tcW w:type="dxa" w:w="7060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Purpose and architectural role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3.9+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Implementation language and subject taught.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LangGraph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Required graph orchestration: state, nodes, edges, and routing.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structured response and source schemas.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Persists sessions, profiles, quiz history, and misconceptions.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Calls Groq and local Ollama HTTP endpoints.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Groq API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Supported optional hosted provider; no key used in final metrics.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Ollama / qwen3:4b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32-case, LLM-judge, and RAGAS inference provider.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Interactive live-demo interface with visible sources and flags.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RAGAS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faithfulness and retrieval evaluation.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Pytest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tests for retrieval, memory, and guardrails.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python-docx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Generates the formatted report and disclosure documents.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Pillow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Renders the system-architecture figure used in the report.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Python notes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CSAI 106-level grounding corpus.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test conversations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32 cases across personas, edge cases, and attacks.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 Codex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Assisted guideline analysis, implementation, documentation, and testing; all work remains the team's responsibility.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Course lectures and labs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Guided prompting, RAG, memory, LangGraph, tools, safety, and evaluation choices.</w:t>
            </w:r>
          </w:p>
        </w:tc>
      </w:tr>
    </w:tbl>
    <w:p>
      <w:pPr>
        <w:spacing w:before="100" w:after="0"/>
      </w:pPr>
      <w:r>
        <w:rPr>
          <w:b/>
          <w:sz w:val="18"/>
        </w:rPr>
        <w:t>Credential statement: No API key is included in the repository. Secrets are loaded from an ignored .env file. Synthetic and AI-assisted materials are disclosed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1181" w:bottom="69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0"/>
        <w:sz w:val="17"/>
      </w:rPr>
      <w:t>PyMentor | Tool Disclosure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