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i w:val="0"/>
          <w:color w:val="0A2540"/>
          <w:sz w:val="40"/>
        </w:rPr>
        <w:t>PHARMAFORCE 360° — COMMERCIAL INTELLIGENCE SUITE</w:t>
      </w:r>
    </w:p>
    <w:p>
      <w:pPr>
        <w:spacing w:before="0" w:after="240"/>
      </w:pPr>
      <w:r>
        <w:rPr>
          <w:rFonts w:ascii="Segoe UI" w:hAnsi="Segoe UI"/>
          <w:b/>
          <w:i w:val="0"/>
          <w:color w:val="00A3E0"/>
          <w:sz w:val="22"/>
        </w:rPr>
        <w:t>Comprehensive Handover Specification &amp; End-to-End Implementation Blueprint (Greater Cairo Edition)</w:t>
      </w:r>
    </w:p>
    <w:tbl>
      <w:tblPr>
        <w:tblW w:type="auto" w:w="0"/>
        <w:jc w:val="center"/>
        <w:tblLayout w:type="fixed"/>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left w:val="single" w:sz="36" w:space="0" w:color="00A3E0"/>
              <w:top w:val="none"/>
              <w:right w:val="none"/>
              <w:bottom w:val="none"/>
            </w:tcBorders>
          </w:tcPr>
          <w:p>
            <w:pPr>
              <w:spacing w:before="0" w:after="0"/>
            </w:pPr>
            <w:r>
              <w:rPr>
                <w:rFonts w:ascii="Segoe UI" w:hAnsi="Segoe UI"/>
                <w:b/>
                <w:i w:val="0"/>
                <w:color w:val="0A2540"/>
                <w:sz w:val="19"/>
              </w:rPr>
              <w:t xml:space="preserve">📌 MASTER HANDOFF BLUEPRINT: </w:t>
            </w:r>
            <w:r>
              <w:rPr>
                <w:rFonts w:ascii="Segoe UI" w:hAnsi="Segoe UI"/>
                <w:b w:val="0"/>
                <w:i/>
                <w:color w:val="2D3748"/>
                <w:sz w:val="19"/>
              </w:rPr>
              <w:t>This master document contains the complete technical, operational, and architectural design for PharmaForce 360°. It covers the full data schema, Google Colab cell-by-cell engine, Kaggle 10.0 usability packaging, Power BI Project (.pbip) semantic layer setup, and production .gitignore rules. Use this blueprint to guide generation in your fresh Antigravity session.</w:t>
            </w:r>
          </w:p>
        </w:tc>
      </w:tr>
    </w:tbl>
    <w:p>
      <w:pPr>
        <w:spacing w:before="0" w:after="60"/>
      </w:pPr>
    </w:p>
    <w:p>
      <w:pPr>
        <w:keepNext/>
        <w:spacing w:before="320" w:after="80"/>
      </w:pPr>
      <w:r>
        <w:rPr>
          <w:rFonts w:ascii="Segoe UI" w:hAnsi="Segoe UI"/>
          <w:b/>
          <w:i w:val="0"/>
          <w:color w:val="0A2540"/>
          <w:sz w:val="30"/>
        </w:rPr>
        <w:t>1. Executive Summary &amp; Domain Scope</w:t>
      </w:r>
    </w:p>
    <w:p>
      <w:pPr>
        <w:spacing w:before="0" w:after="80" w:line="276" w:lineRule="auto"/>
      </w:pPr>
      <w:r>
        <w:rPr>
          <w:rFonts w:ascii="Segoe UI" w:hAnsi="Segoe UI"/>
          <w:b w:val="0"/>
          <w:i w:val="0"/>
          <w:color w:val="2D3748"/>
          <w:sz w:val="20"/>
        </w:rPr>
        <w:t>PharmaForce 360° is an end-to-end commercial pharmaceutical intelligence platform and realistic synthetic dataset specifically modeled on the Greater Cairo Pharmaceutical Market in Egypt. All financials are strictly denominated in Egyptian Pounds (EGP). The system models the complete pharmaceutical commercial loop from morning hospital visits and private clinic detailing to doctor deal ROI, distributor stock fulfillment (Ibn Sina / UCP / المخازن), and localized pharmacy sell-out.</w:t>
      </w:r>
    </w:p>
    <w:p>
      <w:pPr>
        <w:pStyle w:val="ListBullet"/>
        <w:spacing w:before="0" w:after="50" w:line="276" w:lineRule="auto"/>
      </w:pPr>
      <w:r>
        <w:rPr>
          <w:rFonts w:ascii="Segoe UI" w:hAnsi="Segoe UI"/>
          <w:b/>
          <w:i w:val="0"/>
          <w:color w:val="0A2540"/>
          <w:sz w:val="19"/>
        </w:rPr>
        <w:t>Greater Cairo Geography:</w:t>
      </w:r>
      <w:r>
        <w:rPr>
          <w:rFonts w:ascii="Segoe UI" w:hAnsi="Segoe UI"/>
          <w:b w:val="0"/>
          <w:i w:val="0"/>
          <w:color w:val="2D3748"/>
          <w:sz w:val="19"/>
        </w:rPr>
        <w:t xml:space="preserve"> 28 Micro-territory Bricks across 6 commercial zones with real GPS coordinates.</w:t>
      </w:r>
    </w:p>
    <w:p>
      <w:pPr>
        <w:pStyle w:val="ListBullet"/>
        <w:spacing w:before="0" w:after="50" w:line="276" w:lineRule="auto"/>
      </w:pPr>
      <w:r>
        <w:rPr>
          <w:rFonts w:ascii="Segoe UI" w:hAnsi="Segoe UI"/>
          <w:b/>
          <w:i w:val="0"/>
          <w:color w:val="0A2540"/>
          <w:sz w:val="19"/>
        </w:rPr>
        <w:t>Field Sales Force:</w:t>
      </w:r>
      <w:r>
        <w:rPr>
          <w:rFonts w:ascii="Segoe UI" w:hAnsi="Segoe UI"/>
          <w:b w:val="0"/>
          <w:i w:val="0"/>
          <w:color w:val="2D3748"/>
          <w:sz w:val="19"/>
        </w:rPr>
        <w:t xml:space="preserve"> 32 Medical Reps divided equally into Cardio-Metabolic Line (16) and Respiratory &amp; Neuro Line (16).</w:t>
      </w:r>
    </w:p>
    <w:p>
      <w:pPr>
        <w:pStyle w:val="ListBullet"/>
        <w:spacing w:before="0" w:after="50" w:line="276" w:lineRule="auto"/>
      </w:pPr>
      <w:r>
        <w:rPr>
          <w:rFonts w:ascii="Segoe UI" w:hAnsi="Segoe UI"/>
          <w:b/>
          <w:i w:val="0"/>
          <w:color w:val="0A2540"/>
          <w:sz w:val="19"/>
        </w:rPr>
        <w:t>Physician Network:</w:t>
      </w:r>
      <w:r>
        <w:rPr>
          <w:rFonts w:ascii="Segoe UI" w:hAnsi="Segoe UI"/>
          <w:b w:val="0"/>
          <w:i w:val="0"/>
          <w:color w:val="2D3748"/>
          <w:sz w:val="19"/>
        </w:rPr>
        <w:t xml:space="preserve"> ~700 Doctors across 5 specialties (Cardiology, Pulmonology, Endocrinology, Neurology, Internal Med).</w:t>
      </w:r>
    </w:p>
    <w:p>
      <w:pPr>
        <w:pStyle w:val="ListBullet"/>
        <w:spacing w:before="0" w:after="50" w:line="276" w:lineRule="auto"/>
      </w:pPr>
      <w:r>
        <w:rPr>
          <w:rFonts w:ascii="Segoe UI" w:hAnsi="Segoe UI"/>
          <w:b/>
          <w:i w:val="0"/>
          <w:color w:val="0A2540"/>
          <w:sz w:val="19"/>
        </w:rPr>
        <w:t>Retail Pharmacy Network:</w:t>
      </w:r>
      <w:r>
        <w:rPr>
          <w:rFonts w:ascii="Segoe UI" w:hAnsi="Segoe UI"/>
          <w:b w:val="0"/>
          <w:i w:val="0"/>
          <w:color w:val="2D3748"/>
          <w:sz w:val="19"/>
        </w:rPr>
        <w:t xml:space="preserve"> ~550 Panel Pharmacies representing ~80% of Cairo's prescription volume.</w:t>
      </w:r>
    </w:p>
    <w:p>
      <w:pPr>
        <w:pStyle w:val="ListBullet"/>
        <w:spacing w:before="0" w:after="50" w:line="276" w:lineRule="auto"/>
      </w:pPr>
      <w:r>
        <w:rPr>
          <w:rFonts w:ascii="Segoe UI" w:hAnsi="Segoe UI"/>
          <w:b/>
          <w:i w:val="0"/>
          <w:color w:val="0A2540"/>
          <w:sz w:val="19"/>
        </w:rPr>
        <w:t>AM Institutional Accounts:</w:t>
      </w:r>
      <w:r>
        <w:rPr>
          <w:rFonts w:ascii="Segoe UI" w:hAnsi="Segoe UI"/>
          <w:b w:val="0"/>
          <w:i w:val="0"/>
          <w:color w:val="2D3748"/>
          <w:sz w:val="19"/>
        </w:rPr>
        <w:t xml:space="preserve"> Hospitals, Bank HQs, and Corporate Clinics visited during morning shifts.</w:t>
      </w:r>
    </w:p>
    <w:p>
      <w:pPr>
        <w:pStyle w:val="ListBullet"/>
        <w:spacing w:before="0" w:after="50" w:line="276" w:lineRule="auto"/>
      </w:pPr>
      <w:r>
        <w:rPr>
          <w:rFonts w:ascii="Segoe UI" w:hAnsi="Segoe UI"/>
          <w:b/>
          <w:i w:val="0"/>
          <w:color w:val="0A2540"/>
          <w:sz w:val="19"/>
        </w:rPr>
        <w:t>Supply Chain:</w:t>
      </w:r>
      <w:r>
        <w:rPr>
          <w:rFonts w:ascii="Segoe UI" w:hAnsi="Segoe UI"/>
          <w:b w:val="0"/>
          <w:i w:val="0"/>
          <w:color w:val="2D3748"/>
          <w:sz w:val="19"/>
        </w:rPr>
        <w:t xml:space="preserve"> Big 5 National Distributors (Ibn Sina, UCP, Soficopharm, PharmaOverseas, Ramco) + Local Private Warehouses (المخازن).</w:t>
      </w:r>
    </w:p>
    <w:p>
      <w:pPr>
        <w:pStyle w:val="ListBullet"/>
        <w:spacing w:before="0" w:after="50" w:line="276" w:lineRule="auto"/>
      </w:pPr>
      <w:r>
        <w:rPr>
          <w:rFonts w:ascii="Segoe UI" w:hAnsi="Segoe UI"/>
          <w:b/>
          <w:i w:val="0"/>
          <w:color w:val="0A2540"/>
          <w:sz w:val="19"/>
        </w:rPr>
        <w:t>Currency Standardization:</w:t>
      </w:r>
      <w:r>
        <w:rPr>
          <w:rFonts w:ascii="Segoe UI" w:hAnsi="Segoe UI"/>
          <w:b w:val="0"/>
          <w:i w:val="0"/>
          <w:color w:val="2D3748"/>
          <w:sz w:val="19"/>
        </w:rPr>
        <w:t xml:space="preserve"> Egyptian Pounds (EGP) calibrated to realistic market prices and rep quotas.</w:t>
      </w:r>
    </w:p>
    <w:p>
      <w:pPr>
        <w:keepNext/>
        <w:spacing w:before="320" w:after="80"/>
      </w:pPr>
      <w:r>
        <w:rPr>
          <w:rFonts w:ascii="Segoe UI" w:hAnsi="Segoe UI"/>
          <w:b/>
          <w:i w:val="0"/>
          <w:color w:val="0A2540"/>
          <w:sz w:val="30"/>
        </w:rPr>
        <w:t>2. Master Data Model Inventory (15 Relational Tables)</w:t>
      </w:r>
    </w:p>
    <w:p>
      <w:pPr>
        <w:spacing w:before="0" w:after="80" w:line="276" w:lineRule="auto"/>
      </w:pPr>
      <w:r>
        <w:rPr>
          <w:rFonts w:ascii="Segoe UI" w:hAnsi="Segoe UI"/>
          <w:b w:val="0"/>
          <w:i w:val="0"/>
          <w:color w:val="2D3748"/>
          <w:sz w:val="20"/>
        </w:rPr>
        <w:t>The relational schema follows a pure Kimball Star Schema architecture optimized for Power BI's VertiPaq engine and Kaggle tabular usability (Targeting 10.0 Usability Score). No business logic or DAX formulas are embedded inside the raw CSVs.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0A2540"/>
            <w:tcMar>
              <w:top w:w="90" w:type="dxa"/>
              <w:bottom w:w="90" w:type="dxa"/>
              <w:left w:w="90" w:type="dxa"/>
              <w:right w:w="90" w:type="dxa"/>
            </w:tcMar>
          </w:tcPr>
          <w:p>
            <w:r>
              <w:rPr>
                <w:rFonts w:ascii="Segoe UI" w:hAnsi="Segoe UI"/>
                <w:b/>
                <w:i w:val="0"/>
                <w:color w:val="FFFFFF"/>
                <w:sz w:val="18"/>
              </w:rPr>
              <w:t>Table Name</w:t>
            </w:r>
          </w:p>
        </w:tc>
        <w:tc>
          <w:tcPr>
            <w:tcW w:type="dxa" w:w="1440"/>
            <w:shd w:fill="0A2540"/>
            <w:tcMar>
              <w:top w:w="90" w:type="dxa"/>
              <w:bottom w:w="90" w:type="dxa"/>
              <w:left w:w="90" w:type="dxa"/>
              <w:right w:w="90" w:type="dxa"/>
            </w:tcMar>
          </w:tcPr>
          <w:p>
            <w:r>
              <w:rPr>
                <w:rFonts w:ascii="Segoe UI" w:hAnsi="Segoe UI"/>
                <w:b/>
                <w:i w:val="0"/>
                <w:color w:val="FFFFFF"/>
                <w:sz w:val="18"/>
              </w:rPr>
              <w:t>Type</w:t>
            </w:r>
          </w:p>
        </w:tc>
        <w:tc>
          <w:tcPr>
            <w:tcW w:type="dxa" w:w="1584"/>
            <w:shd w:fill="0A2540"/>
            <w:tcMar>
              <w:top w:w="90" w:type="dxa"/>
              <w:bottom w:w="90" w:type="dxa"/>
              <w:left w:w="90" w:type="dxa"/>
              <w:right w:w="90" w:type="dxa"/>
            </w:tcMar>
          </w:tcPr>
          <w:p>
            <w:r>
              <w:rPr>
                <w:rFonts w:ascii="Segoe UI" w:hAnsi="Segoe UI"/>
                <w:b/>
                <w:i w:val="0"/>
                <w:color w:val="FFFFFF"/>
                <w:sz w:val="18"/>
              </w:rPr>
              <w:t>Estimated Rows</w:t>
            </w:r>
          </w:p>
        </w:tc>
        <w:tc>
          <w:tcPr>
            <w:tcW w:type="dxa" w:w="4464"/>
            <w:shd w:fill="0A2540"/>
            <w:tcMar>
              <w:top w:w="90" w:type="dxa"/>
              <w:bottom w:w="90" w:type="dxa"/>
              <w:left w:w="90" w:type="dxa"/>
              <w:right w:w="90" w:type="dxa"/>
            </w:tcMar>
          </w:tcPr>
          <w:p>
            <w:r>
              <w:rPr>
                <w:rFonts w:ascii="Segoe UI" w:hAnsi="Segoe UI"/>
                <w:b/>
                <w:i w:val="0"/>
                <w:color w:val="FFFFFF"/>
                <w:sz w:val="18"/>
              </w:rPr>
              <w:t>Description &amp; Domain Scope</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dim_date.csv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24 Months (2025–2026)</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Master continuous calendar. Enforces Egyptian work week (Saturday to Thursday, Friday strictly off), Ramadan periods, and national holidays.</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dim_brick_territory.csv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28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Greater Cairo micro-territories (Dokki, Mohandessin, Nasr City, Heliopolis, Maadi, Tagamoa, etc.) with centroid GPS, zone, and socioeconomic tier.</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dim_account.csv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~50–60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Key Morning (AM) Institutional Accounts: Public/University Hospitals, Bank HQs, Corporate/Petroleum clinics with coordinates and allocated rep IDs.</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dim_distributor.csv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6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Big 5 Egyptian Distributors (Ibn Sina, UCP, Soficopharm, PharmaOverseas, Ramco) + DIST-06: Local Private Warehouses (المخازن).</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dim_product.csv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8 Rows (7 unique)</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2 Therapeutic Lines with 4 drugs each. VascuPro 50mg is shared across both lines. Unit prices, formulations, and target specialties in EGP.</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dim_competitor_product.csv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7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Direct benchmark rival drugs (Concor, Crestor, Jardiance, Vastarel MR, Symbicort, Cipralex, Singulair) with competitor prices in EGP.</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dim_medical_rep.csv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32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Field reps, assigned lines, assigned bricks, assigned AM accounts, manager name, tenure, and predecessor tracking for turnover.</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dim_doctor.csv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~700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HCP profiles, specialties, doctor tiers (20% A / 40% B / 40% C), practice patterns (Daily vs. Alternate Days: Sat/Mon/Wed vs. Sun/Tue/Thu).</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dim_doctor_schedule.csv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~1,100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Pivoted weekly timetable grid. Columns: Monday..Sunday containing time ranges (e.g. '17:00 - 21:00' or 'Off'). Non-overlapping clinic validation.</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dim_pharmacy.csv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Dimension</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~550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Audited community &amp; chain pharmacies (El-Ezaby, Seif, Care, etc.) with GPS coordinates, footfall tier, and preferred distributor.</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fact_rep_weekly_plan.csv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~50,000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Weekly planned calls (Sat–Thu cycle). Captures ~40% delinquency (~20% missing, ~20% late mid-week) and plan execution status.</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fact_rep_visits.csv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~45,000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Granular doctor call logs (AM Hospital vs PM Private Clinic), products detailed, samples dropped, feedback sentiment, Rx commitment, linked to Plan_ID.</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fact_pharmacy_visits.csv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~15,000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Pharmacy audits with Closed-Loop Link (Related_Doctor_Visit_ID) verifying if doctor prescribed, stock count, and transfer orders to Ibn Sina/UCP/المخازن.</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fact_pharmacy_sales.csv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~35,000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Monthly pharmacy sell-out in EGP per drug, modeling the Brick Effect, doctor tier catchment radii, supply shocks, and distributor channels.</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fact_rep_targets.csv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3,072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Monthly quotas broken down per drug (Product_ID) in EGP, dynamically calibrated by the Territory Potential Index (Dokki = 580k vs Shorouk = 210k).</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fact_dr_expense.csv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~1,800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Doctor promotional investments in EGP with Expense_Kind, territory budget ceilings, and 4 Compliance Personas (including 20% Free Riders with negative ROI).</w:t>
            </w:r>
          </w:p>
        </w:tc>
      </w:tr>
      <w:tr>
        <w:tc>
          <w:tcPr>
            <w:tcW w:type="dxa" w:w="2592"/>
            <w:shd w:fill="FFFFFF"/>
            <w:tcMar>
              <w:top w:w="60" w:type="dxa"/>
              <w:bottom w:w="60" w:type="dxa"/>
              <w:left w:w="80" w:type="dxa"/>
              <w:right w:w="80" w:type="dxa"/>
            </w:tcMar>
          </w:tcPr>
          <w:p>
            <w:pPr>
              <w:spacing w:before="0" w:after="0"/>
            </w:pPr>
            <w:r>
              <w:rPr>
                <w:rFonts w:ascii="Segoe UI" w:hAnsi="Segoe UI"/>
                <w:b/>
                <w:i w:val="0"/>
                <w:color w:val="2D3748"/>
                <w:sz w:val="17"/>
              </w:rPr>
              <w:t>fact_ims_market_audit.csv</w:t>
            </w:r>
          </w:p>
        </w:tc>
        <w:tc>
          <w:tcPr>
            <w:tcW w:type="dxa" w:w="1440"/>
            <w:shd w:fill="FFFFFF"/>
            <w:tcMar>
              <w:top w:w="60" w:type="dxa"/>
              <w:bottom w:w="60" w:type="dxa"/>
              <w:left w:w="80" w:type="dxa"/>
              <w:right w:w="80" w:type="dxa"/>
            </w:tcMar>
          </w:tcPr>
          <w:p>
            <w:pPr>
              <w:spacing w:before="0" w:after="0"/>
            </w:pPr>
            <w:r>
              <w:rPr>
                <w:rFonts w:ascii="Segoe UI" w:hAnsi="Segoe UI"/>
                <w:b w:val="0"/>
                <w:i w:val="0"/>
                <w:color w:val="2D3748"/>
                <w:sz w:val="17"/>
              </w:rPr>
              <w:t>Fact</w:t>
            </w:r>
          </w:p>
        </w:tc>
        <w:tc>
          <w:tcPr>
            <w:tcW w:type="dxa" w:w="1584"/>
            <w:shd w:fill="FFFFFF"/>
            <w:tcMar>
              <w:top w:w="60" w:type="dxa"/>
              <w:bottom w:w="60" w:type="dxa"/>
              <w:left w:w="80" w:type="dxa"/>
              <w:right w:w="80" w:type="dxa"/>
            </w:tcMar>
          </w:tcPr>
          <w:p>
            <w:pPr>
              <w:spacing w:before="0" w:after="0"/>
            </w:pPr>
            <w:r>
              <w:rPr>
                <w:rFonts w:ascii="Segoe UI" w:hAnsi="Segoe UI"/>
                <w:b w:val="0"/>
                <w:i w:val="0"/>
                <w:color w:val="2D3748"/>
                <w:sz w:val="17"/>
              </w:rPr>
              <w:t>~4,700 Rows</w:t>
            </w:r>
          </w:p>
        </w:tc>
        <w:tc>
          <w:tcPr>
            <w:tcW w:type="dxa" w:w="4464"/>
            <w:shd w:fill="FFFFFF"/>
            <w:tcMar>
              <w:top w:w="60" w:type="dxa"/>
              <w:bottom w:w="60" w:type="dxa"/>
              <w:left w:w="80" w:type="dxa"/>
              <w:right w:w="80" w:type="dxa"/>
            </w:tcMar>
          </w:tcPr>
          <w:p>
            <w:pPr>
              <w:spacing w:before="0" w:after="0"/>
            </w:pPr>
            <w:r>
              <w:rPr>
                <w:rFonts w:ascii="Segoe UI" w:hAnsi="Segoe UI"/>
                <w:b w:val="0"/>
                <w:i w:val="0"/>
                <w:color w:val="2D3748"/>
                <w:sz w:val="17"/>
              </w:rPr>
              <w:t>Monthly IQVIA audited market sales, competitor volume, company market share %, and Evolution Index (EI) per brick.</w:t>
            </w:r>
          </w:p>
        </w:tc>
      </w:tr>
      <w:tr>
        <w:tc>
          <w:tcPr>
            <w:tcW w:type="dxa" w:w="2592"/>
            <w:shd w:fill="F8FAFC"/>
            <w:tcMar>
              <w:top w:w="60" w:type="dxa"/>
              <w:bottom w:w="60" w:type="dxa"/>
              <w:left w:w="80" w:type="dxa"/>
              <w:right w:w="80" w:type="dxa"/>
            </w:tcMar>
          </w:tcPr>
          <w:p>
            <w:pPr>
              <w:spacing w:before="0" w:after="0"/>
            </w:pPr>
            <w:r>
              <w:rPr>
                <w:rFonts w:ascii="Segoe UI" w:hAnsi="Segoe UI"/>
                <w:b/>
                <w:i w:val="0"/>
                <w:color w:val="2D3748"/>
                <w:sz w:val="17"/>
              </w:rPr>
              <w:t>fact_doctor_predictions.csv</w:t>
            </w:r>
          </w:p>
        </w:tc>
        <w:tc>
          <w:tcPr>
            <w:tcW w:type="dxa" w:w="1440"/>
            <w:shd w:fill="F8FAFC"/>
            <w:tcMar>
              <w:top w:w="60" w:type="dxa"/>
              <w:bottom w:w="60" w:type="dxa"/>
              <w:left w:w="80" w:type="dxa"/>
              <w:right w:w="80" w:type="dxa"/>
            </w:tcMar>
          </w:tcPr>
          <w:p>
            <w:pPr>
              <w:spacing w:before="0" w:after="0"/>
            </w:pPr>
            <w:r>
              <w:rPr>
                <w:rFonts w:ascii="Segoe UI" w:hAnsi="Segoe UI"/>
                <w:b w:val="0"/>
                <w:i w:val="0"/>
                <w:color w:val="2D3748"/>
                <w:sz w:val="17"/>
              </w:rPr>
              <w:t>Fact (ML)</w:t>
            </w:r>
          </w:p>
        </w:tc>
        <w:tc>
          <w:tcPr>
            <w:tcW w:type="dxa" w:w="1584"/>
            <w:shd w:fill="F8FAFC"/>
            <w:tcMar>
              <w:top w:w="60" w:type="dxa"/>
              <w:bottom w:w="60" w:type="dxa"/>
              <w:left w:w="80" w:type="dxa"/>
              <w:right w:w="80" w:type="dxa"/>
            </w:tcMar>
          </w:tcPr>
          <w:p>
            <w:pPr>
              <w:spacing w:before="0" w:after="0"/>
            </w:pPr>
            <w:r>
              <w:rPr>
                <w:rFonts w:ascii="Segoe UI" w:hAnsi="Segoe UI"/>
                <w:b w:val="0"/>
                <w:i w:val="0"/>
                <w:color w:val="2D3748"/>
                <w:sz w:val="17"/>
              </w:rPr>
              <w:t>~700 Rows</w:t>
            </w:r>
          </w:p>
        </w:tc>
        <w:tc>
          <w:tcPr>
            <w:tcW w:type="dxa" w:w="4464"/>
            <w:shd w:fill="F8FAFC"/>
            <w:tcMar>
              <w:top w:w="60" w:type="dxa"/>
              <w:bottom w:w="60" w:type="dxa"/>
              <w:left w:w="80" w:type="dxa"/>
              <w:right w:w="80" w:type="dxa"/>
            </w:tcMar>
          </w:tcPr>
          <w:p>
            <w:pPr>
              <w:spacing w:before="0" w:after="0"/>
            </w:pPr>
            <w:r>
              <w:rPr>
                <w:rFonts w:ascii="Segoe UI" w:hAnsi="Segoe UI"/>
                <w:b w:val="0"/>
                <w:i w:val="0"/>
                <w:color w:val="2D3748"/>
                <w:sz w:val="17"/>
              </w:rPr>
              <w:t>Engineered ML outputs: Prescriber Churn Risk Score, Top SHAP Driver, Next-Best-Action Priority Score (1–100), Recommended Action, Clinic &amp; Drug.</w:t>
            </w:r>
          </w:p>
        </w:tc>
      </w:tr>
    </w:tbl>
    <w:p>
      <w:pPr>
        <w:spacing w:before="80"/>
      </w:pPr>
    </w:p>
    <w:p>
      <w:pPr>
        <w:keepNext/>
        <w:spacing w:before="320" w:after="80"/>
      </w:pPr>
      <w:r>
        <w:rPr>
          <w:rFonts w:ascii="Segoe UI" w:hAnsi="Segoe UI"/>
          <w:b/>
          <w:i w:val="0"/>
          <w:color w:val="0A2540"/>
          <w:sz w:val="30"/>
        </w:rPr>
        <w:t>3. Deep Egyptian Market Realism Rules (Core Algorithms)</w:t>
      </w:r>
    </w:p>
    <w:p>
      <w:pPr>
        <w:spacing w:before="0" w:after="80" w:line="276" w:lineRule="auto"/>
      </w:pPr>
      <w:r>
        <w:rPr>
          <w:rFonts w:ascii="Segoe UI" w:hAnsi="Segoe UI"/>
          <w:b w:val="0"/>
          <w:i w:val="0"/>
          <w:color w:val="2D3748"/>
          <w:sz w:val="20"/>
        </w:rPr>
        <w:t>To ensure this dataset is indistinguishable from live enterprise IQVIA/Veeva data, the Python generator strictly enforces 8 mathematical and operational rules:</w:t>
      </w:r>
    </w:p>
    <w:p>
      <w:pPr>
        <w:keepNext/>
        <w:spacing w:before="240" w:after="60"/>
      </w:pPr>
      <w:r>
        <w:rPr>
          <w:rFonts w:ascii="Segoe UI" w:hAnsi="Segoe UI"/>
          <w:b/>
          <w:i w:val="0"/>
          <w:color w:val="00A3E0"/>
          <w:sz w:val="25"/>
        </w:rPr>
        <w:t>Rule 1: Doctor Tier-Weighted Catchment Radii (Haversine Formula)</w:t>
      </w:r>
    </w:p>
    <w:p>
      <w:pPr>
        <w:spacing w:before="0" w:after="80" w:line="276" w:lineRule="auto"/>
      </w:pPr>
      <w:r>
        <w:rPr>
          <w:rFonts w:ascii="Segoe UI" w:hAnsi="Segoe UI"/>
          <w:b w:val="0"/>
          <w:i w:val="0"/>
          <w:color w:val="2D3748"/>
          <w:sz w:val="20"/>
        </w:rPr>
        <w:t>Patients leaving a clinic walk to surrounding pharmacies. However, prescription dispersion is heavily modulated by Doctor Tier:</w:t>
        <w:br/>
        <w:t>• Tier A (Professors / KOLs): Patients travel from across Cairo. Prescriptions radiate 50% within &lt;300m, 32% within 300–800m, and 18% distal (patient home district / 24h chains).</w:t>
        <w:br/>
        <w:t>• Tier B (Consultants): Standard district catchment: 68% within &lt;300m, 24% within 300–800m, 8% distal.</w:t>
        <w:br/>
        <w:t>• Tier C (Neighborhood Clinics): Hyper-local footfall: 88% within &lt;300m, 10% within 300–800m, 2% distal.</w:t>
      </w:r>
    </w:p>
    <w:p>
      <w:pPr>
        <w:keepNext/>
        <w:spacing w:before="240" w:after="60"/>
      </w:pPr>
      <w:r>
        <w:rPr>
          <w:rFonts w:ascii="Segoe UI" w:hAnsi="Segoe UI"/>
          <w:b/>
          <w:i w:val="0"/>
          <w:color w:val="00A3E0"/>
          <w:sz w:val="25"/>
        </w:rPr>
        <w:t>Rule 2: Pivoted Doctor Timetable &amp; Non-Overlapping Working Patterns</w:t>
      </w:r>
    </w:p>
    <w:p>
      <w:pPr>
        <w:spacing w:before="0" w:after="80" w:line="276" w:lineRule="auto"/>
      </w:pPr>
      <w:r>
        <w:rPr>
          <w:rFonts w:ascii="Segoe UI" w:hAnsi="Segoe UI"/>
          <w:b w:val="0"/>
          <w:i w:val="0"/>
          <w:color w:val="2D3748"/>
          <w:sz w:val="20"/>
        </w:rPr>
        <w:t>dim_doctor_schedule structures days of the week as columns (Monday through Sunday) containing explicit time ranges (e.g. '17:00 - 21:00' or 'Off').</w:t>
        <w:br/>
        <w:t>• Daily Pattern (~45% of doctors): Open 5–6 days a week (Sat–Wed) with fixed patient volume.</w:t>
        <w:br/>
        <w:t>• Alternate Days Pattern (~55% of consultants): Doctors split their week between two clinics (Group A: Sat/Mon/Wed vs Group B: Sun/Tue/Thu).</w:t>
        <w:br/>
        <w:t>• Strict Temporal Exclusivity: Zero doctors can occupy two clinics on the same day and shift window. Friday is strictly OFF.</w:t>
      </w:r>
    </w:p>
    <w:p>
      <w:pPr>
        <w:keepNext/>
        <w:spacing w:before="240" w:after="60"/>
      </w:pPr>
      <w:r>
        <w:rPr>
          <w:rFonts w:ascii="Segoe UI" w:hAnsi="Segoe UI"/>
          <w:b/>
          <w:i w:val="0"/>
          <w:color w:val="00A3E0"/>
          <w:sz w:val="25"/>
        </w:rPr>
        <w:t>Rule 3: Rep Turnover &amp; New-Hire S-Curve Recovery</w:t>
      </w:r>
    </w:p>
    <w:p>
      <w:pPr>
        <w:spacing w:before="0" w:after="80" w:line="276" w:lineRule="auto"/>
      </w:pPr>
      <w:r>
        <w:rPr>
          <w:rFonts w:ascii="Segoe UI" w:hAnsi="Segoe UI"/>
          <w:b w:val="0"/>
          <w:i w:val="0"/>
          <w:color w:val="2D3748"/>
          <w:sz w:val="20"/>
        </w:rPr>
        <w:t>Over 24 months, 5 reps resign, leaving territories vacant for 3–4 weeks (0 calls, sales decay). When a replacement rep takes over:</w:t>
        <w:br/>
        <w:t>• Initial Relationship Dip: Performance drops 5% to 10% below the historical baseline in the first 30 days due to broken doctor rapport.</w:t>
        <w:br/>
        <w:t>• Sigmoid S-Curve Ramp-Up: Over days 31–100, territory recovery follows M(t) = 0.90 + 0.15 / (1 + exp(-0.08 * (t - 45))), reaching 102–105% steady-state by day 100.</w:t>
      </w:r>
    </w:p>
    <w:p>
      <w:pPr>
        <w:keepNext/>
        <w:spacing w:before="240" w:after="60"/>
      </w:pPr>
      <w:r>
        <w:rPr>
          <w:rFonts w:ascii="Segoe UI" w:hAnsi="Segoe UI"/>
          <w:b/>
          <w:i w:val="0"/>
          <w:color w:val="00A3E0"/>
          <w:sz w:val="25"/>
        </w:rPr>
        <w:t>Rule 4: Supply Chain Sensitivity &amp; Private Warehouses (المخازن)</w:t>
      </w:r>
    </w:p>
    <w:p>
      <w:pPr>
        <w:spacing w:before="0" w:after="80" w:line="276" w:lineRule="auto"/>
      </w:pPr>
      <w:r>
        <w:rPr>
          <w:rFonts w:ascii="Segoe UI" w:hAnsi="Segoe UI"/>
          <w:b w:val="0"/>
          <w:i w:val="0"/>
          <w:color w:val="2D3748"/>
          <w:sz w:val="20"/>
        </w:rPr>
        <w:t>In Egypt, formal Big 5 distributors (Ibn Sina, UCP, Soficopharm) dominate central hubs, but peripheral and lower-socioeconomic bricks rely heavily on local private warehouses (المخازن) for high cash discounts:</w:t>
        <w:br/>
        <w:t>• Affluent / Central Bricks (Dokki, Mohandessin, Tagamoa): 92% Big 5, 8% المخازن.</w:t>
        <w:br/>
        <w:t>• Middle-Class Urban Hubs (Nasr City, Shubra, Agouza): 80% Big 5, 20% المخازن.</w:t>
        <w:br/>
        <w:t>• Peripheral / High-Density Fringe (Shobra El-Kheima, Helwan, Matareya, Outer Faisal): 55% Big 5, 45% المخازن (DIST-06).</w:t>
      </w:r>
    </w:p>
    <w:p>
      <w:pPr>
        <w:keepNext/>
        <w:spacing w:before="240" w:after="60"/>
      </w:pPr>
      <w:r>
        <w:rPr>
          <w:rFonts w:ascii="Segoe UI" w:hAnsi="Segoe UI"/>
          <w:b/>
          <w:i w:val="0"/>
          <w:color w:val="00A3E0"/>
          <w:sz w:val="25"/>
        </w:rPr>
        <w:t>Rule 5: Doctor Promotional Deals &amp; Compliance Personas (Free Riders)</w:t>
      </w:r>
    </w:p>
    <w:p>
      <w:pPr>
        <w:spacing w:before="0" w:after="80" w:line="276" w:lineRule="auto"/>
      </w:pPr>
      <w:r>
        <w:rPr>
          <w:rFonts w:ascii="Segoe UI" w:hAnsi="Segoe UI"/>
          <w:b w:val="0"/>
          <w:i w:val="0"/>
          <w:color w:val="2D3748"/>
          <w:sz w:val="20"/>
        </w:rPr>
        <w:t>fact_dr_expense captures field investments (Clinic Tool Donations: 15k–25k EGP; RTDs: 25k–45k EGP; Business Dinners: 6k–12k EGP; Congresses: 45k–85k EGP). Doctor response is heterogeneous:</w:t>
        <w:br/>
        <w:t>• 35% Loyal Champions: Honor commitments with +35% to +60% Rx uplift (High positive ROI: +150% to +350%).</w:t>
        <w:br/>
        <w:t>• 35% Partial Converters: Moderate commitment with +12% to +22% uplift (Break-even ROI: +20% to +80%).</w:t>
        <w:br/>
        <w:t>• 20% Free Riders (Non-Compliant): Accept the expense and write ZERO additional prescriptions (Disastrous negative ROI: -70% to -95%).</w:t>
        <w:br/>
        <w:t>• 10% Delayed Converters: Prescriptions start only in Month 3 after repeated rep follow-up detailing.</w:t>
      </w:r>
    </w:p>
    <w:p>
      <w:pPr>
        <w:keepNext/>
        <w:spacing w:before="240" w:after="60"/>
      </w:pPr>
      <w:r>
        <w:rPr>
          <w:rFonts w:ascii="Segoe UI" w:hAnsi="Segoe UI"/>
          <w:b/>
          <w:i w:val="0"/>
          <w:color w:val="00A3E0"/>
          <w:sz w:val="25"/>
        </w:rPr>
        <w:t>Rule 6: Egyptian Work Week &amp; Planning Delinquency</w:t>
      </w:r>
    </w:p>
    <w:p>
      <w:pPr>
        <w:spacing w:before="0" w:after="80" w:line="276" w:lineRule="auto"/>
      </w:pPr>
      <w:r>
        <w:rPr>
          <w:rFonts w:ascii="Segoe UI" w:hAnsi="Segoe UI"/>
          <w:b w:val="0"/>
          <w:i w:val="0"/>
          <w:color w:val="2D3748"/>
          <w:sz w:val="20"/>
        </w:rPr>
        <w:t>• Work Week: Saturday morning through Thursday evening. Friday is strictly closed.</w:t>
        <w:br/>
        <w:t>• Delinquency Behavior: ~60% of rep-weeks submit plans on time (Saturday morning); ~20% submit late mid-week (Mon/Tue); ~20% are delinquent with no plan submitted (all calls that week are flagged as Is_Planned_Visit = False).</w:t>
      </w:r>
    </w:p>
    <w:p>
      <w:pPr>
        <w:keepNext/>
        <w:spacing w:before="240" w:after="60"/>
      </w:pPr>
      <w:r>
        <w:rPr>
          <w:rFonts w:ascii="Segoe UI" w:hAnsi="Segoe UI"/>
          <w:b/>
          <w:i w:val="0"/>
          <w:color w:val="00A3E0"/>
          <w:sz w:val="25"/>
        </w:rPr>
        <w:t>Rule 7: Ramadan Holy Month, Winter Rain &amp; Egyptian Public Holidays</w:t>
      </w:r>
    </w:p>
    <w:p>
      <w:pPr>
        <w:spacing w:before="0" w:after="80" w:line="276" w:lineRule="auto"/>
      </w:pPr>
      <w:r>
        <w:rPr>
          <w:rFonts w:ascii="Segoe UI" w:hAnsi="Segoe UI"/>
          <w:b w:val="0"/>
          <w:i w:val="0"/>
          <w:color w:val="2D3748"/>
          <w:sz w:val="20"/>
        </w:rPr>
        <w:t>• Ramadan (March 2025 &amp; Feb/Mar 2026): Evening clinic hours shift to post-Iftar (20:30–23:30), call completion dips by ~25%, and monthly targets reduce to 110 calls.</w:t>
        <w:br/>
        <w:t>• Cairo Winter Rainstorms: Sporadic days across Dec–Feb cause traffic gridlock, producing a 12–18% dip in completed calls with traffic delay notes.</w:t>
        <w:br/>
        <w:t>• Public Holidays: Eid El-Fitr, Eid El-Adha, 6th of October, Sham El-Nessim, Coptic Christmas, and Police Day have 0 calls.</w:t>
      </w:r>
    </w:p>
    <w:p>
      <w:pPr>
        <w:keepNext/>
        <w:spacing w:before="240" w:after="60"/>
      </w:pPr>
      <w:r>
        <w:rPr>
          <w:rFonts w:ascii="Segoe UI" w:hAnsi="Segoe UI"/>
          <w:b/>
          <w:i w:val="0"/>
          <w:color w:val="00A3E0"/>
          <w:sz w:val="25"/>
        </w:rPr>
        <w:t>Rule 8: Market Supply Shocks (Shortages &amp; Competitor Windfall)</w:t>
      </w:r>
    </w:p>
    <w:p>
      <w:pPr>
        <w:spacing w:before="0" w:after="80" w:line="276" w:lineRule="auto"/>
      </w:pPr>
      <w:r>
        <w:rPr>
          <w:rFonts w:ascii="Segoe UI" w:hAnsi="Segoe UI"/>
          <w:b w:val="0"/>
          <w:i w:val="0"/>
          <w:color w:val="2D3748"/>
          <w:sz w:val="20"/>
        </w:rPr>
        <w:t>• Company Shortage (Q3 2025): CardioCor 10mg suffers a 6-week raw material delay. Shelf stock hits 0, and sales drop by 60% as patients substitute to Concor.</w:t>
        <w:br/>
        <w:t>• Competitor Windfall (Q1 2026): Rival drug Crestor 20mg goes out of stock in Greater Cairo for 6 weeks, driving an immediate +50% windfall surge in Lipidex 20mg sales.</w:t>
      </w:r>
    </w:p>
    <w:p>
      <w:pPr>
        <w:keepNext/>
        <w:spacing w:before="320" w:after="80"/>
      </w:pPr>
      <w:r>
        <w:rPr>
          <w:rFonts w:ascii="Segoe UI" w:hAnsi="Segoe UI"/>
          <w:b/>
          <w:i w:val="0"/>
          <w:color w:val="0A2540"/>
          <w:sz w:val="30"/>
        </w:rPr>
        <w:t>4. Google Colab Notebook Cell Architecture (Option A)</w:t>
      </w:r>
    </w:p>
    <w:p>
      <w:pPr>
        <w:spacing w:before="0" w:after="80" w:line="276" w:lineRule="auto"/>
      </w:pPr>
      <w:r>
        <w:rPr>
          <w:rFonts w:ascii="Segoe UI" w:hAnsi="Segoe UI"/>
          <w:b w:val="0"/>
          <w:i w:val="0"/>
          <w:color w:val="2D3748"/>
          <w:sz w:val="20"/>
        </w:rPr>
        <w:t>The data generation engine is packaged as notebooks/PharmaForce360_Data_Generator.ipynb. Each table is generated in its own dedicated cell, followed by live .head(2) inspection and automated Option A zipping and browser download.</w:t>
      </w:r>
    </w:p>
    <w:tbl>
      <w:tblPr>
        <w:tblW w:type="auto" w:w="0"/>
        <w:jc w:val="center"/>
        <w:tblLayout w:type="fixed"/>
        <w:tblLook w:firstColumn="1" w:firstRow="1" w:lastColumn="0" w:lastRow="0" w:noHBand="0" w:noVBand="1" w:val="04A0"/>
      </w:tblPr>
      <w:tblGrid>
        <w:gridCol w:w="3360"/>
        <w:gridCol w:w="3360"/>
        <w:gridCol w:w="3360"/>
      </w:tblGrid>
      <w:tr>
        <w:tc>
          <w:tcPr>
            <w:tcW w:type="dxa" w:w="1728"/>
            <w:shd w:fill="0A2540"/>
            <w:tcMar>
              <w:top w:w="90" w:type="dxa"/>
              <w:bottom w:w="90" w:type="dxa"/>
              <w:left w:w="90" w:type="dxa"/>
              <w:right w:w="90" w:type="dxa"/>
            </w:tcMar>
          </w:tcPr>
          <w:p>
            <w:r>
              <w:rPr>
                <w:rFonts w:ascii="Segoe UI" w:hAnsi="Segoe UI"/>
                <w:b/>
                <w:i w:val="0"/>
                <w:color w:val="FFFFFF"/>
                <w:sz w:val="18"/>
              </w:rPr>
              <w:t>Cell Number</w:t>
            </w:r>
          </w:p>
        </w:tc>
        <w:tc>
          <w:tcPr>
            <w:tcW w:type="dxa" w:w="3168"/>
            <w:shd w:fill="0A2540"/>
            <w:tcMar>
              <w:top w:w="90" w:type="dxa"/>
              <w:bottom w:w="90" w:type="dxa"/>
              <w:left w:w="90" w:type="dxa"/>
              <w:right w:w="90" w:type="dxa"/>
            </w:tcMar>
          </w:tcPr>
          <w:p>
            <w:r>
              <w:rPr>
                <w:rFonts w:ascii="Segoe UI" w:hAnsi="Segoe UI"/>
                <w:b/>
                <w:i w:val="0"/>
                <w:color w:val="FFFFFF"/>
                <w:sz w:val="18"/>
              </w:rPr>
              <w:t>Module / Table Responsibility</w:t>
            </w:r>
          </w:p>
        </w:tc>
        <w:tc>
          <w:tcPr>
            <w:tcW w:type="dxa" w:w="5184"/>
            <w:shd w:fill="0A2540"/>
            <w:tcMar>
              <w:top w:w="90" w:type="dxa"/>
              <w:bottom w:w="90" w:type="dxa"/>
              <w:left w:w="90" w:type="dxa"/>
              <w:right w:w="90" w:type="dxa"/>
            </w:tcMar>
          </w:tcPr>
          <w:p>
            <w:r>
              <w:rPr>
                <w:rFonts w:ascii="Segoe UI" w:hAnsi="Segoe UI"/>
                <w:b/>
                <w:i w:val="0"/>
                <w:color w:val="FFFFFF"/>
                <w:sz w:val="18"/>
              </w:rPr>
              <w:t>Implementation Details</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1</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Environment Setup</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!pip install faker pandas numpy scikit-learn lightgbm shap -q, import packages, set seed=42.</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2</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dim_date.csv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24-month master calendar with Egyptian work week, Ramadan, and holidays.</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3</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dim_brick_territory.csv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28 Greater Cairo bricks, GPS coordinates, zones, and socioeconomic tiers.</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4</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dim_account.csv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Extracts/allocates AM Institutional Accounts (Hospitals, Banks, Corporate Clinics) to reps.</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5</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dim_distributor.csv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Big 5 distributors + DIST-06 Local Private Warehouses (المخازن).</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6</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dim_product.csv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2 lines, 4 drugs each, VascuPro shared (7 unique drugs total) with prices in EGP.</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7</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dim_competitor_product.csv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direct rival products (Concor, Crestor, Jardiance, etc.) with prices in EGP.</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8</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dim_medical_rep.csv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32 reps, assigned lines/bricks/accounts, predecessor IDs, and turnover flags.</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9</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dim_doctor.csv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~700 doctors across 5 specialties, tiering (20/40/40), and practice patterns.</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10</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dim_doctor_schedule.csv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pivoted timetable (Monday..Sunday) with time ranges and non-overlapping validation.</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11</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dim_pharmacy.csv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~550 panel pharmacies with coordinates, footfall tier, and distributor preference.</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12</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fact_rep_weekly_plan.csv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weekly call plans (Sat–Thu) with ~40% delinquency (missing or late mid-week).</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13</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fact_rep_visits.csv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~45k doctor calls (AM/PM), linked to plan, factoring in Ramadan, rain, and S-curves.</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14</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fact_pharmacy_visits.csv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~15k pharmacy audits with Closed-Loop Link (Related_Doctor_Visit_ID) and transfer orders.</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15</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fact_pharmacy_sales.csv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monthly pharmacy dispensing in EGP, Brick effect, tier catchment, and supply shocks.</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16</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fact_rep_targets.csv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monthly quotas per drug (Product_ID) in EGP calibrated by Territory Potential Index.</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17</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fact_dr_expense.csv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Generates promotional investments in EGP, territory budget ceilings, and 4 Compliance Personas.</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18</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fact_ims_market_audit.csv</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Generates IQVIA audited monthly market volume, competitor sales, and Evolution Index (EI).</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19</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fact_doctor_predictions.csv</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Executes ML pipeline: Prescriber Churn Risk Model &amp; Next-Best-Action visit prioritizer.</w:t>
            </w:r>
          </w:p>
        </w:tc>
      </w:tr>
      <w:tr>
        <w:tc>
          <w:tcPr>
            <w:tcW w:type="dxa" w:w="1728"/>
            <w:shd w:fill="F8FAFC"/>
            <w:tcMar>
              <w:top w:w="60" w:type="dxa"/>
              <w:bottom w:w="60" w:type="dxa"/>
              <w:left w:w="80" w:type="dxa"/>
              <w:right w:w="80" w:type="dxa"/>
            </w:tcMar>
          </w:tcPr>
          <w:p>
            <w:pPr>
              <w:spacing w:before="0" w:after="0"/>
            </w:pPr>
            <w:r>
              <w:rPr>
                <w:rFonts w:ascii="Segoe UI" w:hAnsi="Segoe UI"/>
                <w:b/>
                <w:i w:val="0"/>
                <w:color w:val="2D3748"/>
                <w:sz w:val="17"/>
              </w:rPr>
              <w:t>Cell 20</w:t>
            </w:r>
          </w:p>
        </w:tc>
        <w:tc>
          <w:tcPr>
            <w:tcW w:type="dxa" w:w="3168"/>
            <w:shd w:fill="F8FAFC"/>
            <w:tcMar>
              <w:top w:w="60" w:type="dxa"/>
              <w:bottom w:w="60" w:type="dxa"/>
              <w:left w:w="80" w:type="dxa"/>
              <w:right w:w="80" w:type="dxa"/>
            </w:tcMar>
          </w:tcPr>
          <w:p>
            <w:pPr>
              <w:spacing w:before="0" w:after="0"/>
            </w:pPr>
            <w:r>
              <w:rPr>
                <w:rFonts w:ascii="Segoe UI" w:hAnsi="Segoe UI"/>
                <w:b/>
                <w:i w:val="0"/>
                <w:color w:val="2D3748"/>
                <w:sz w:val="17"/>
              </w:rPr>
              <w:t>Automated QA Verification</w:t>
            </w:r>
          </w:p>
        </w:tc>
        <w:tc>
          <w:tcPr>
            <w:tcW w:type="dxa" w:w="5184"/>
            <w:shd w:fill="F8FAFC"/>
            <w:tcMar>
              <w:top w:w="60" w:type="dxa"/>
              <w:bottom w:w="60" w:type="dxa"/>
              <w:left w:w="80" w:type="dxa"/>
              <w:right w:w="80" w:type="dxa"/>
            </w:tcMar>
          </w:tcPr>
          <w:p>
            <w:pPr>
              <w:spacing w:before="0" w:after="0"/>
            </w:pPr>
            <w:r>
              <w:rPr>
                <w:rFonts w:ascii="Segoe UI" w:hAnsi="Segoe UI"/>
                <w:b w:val="0"/>
                <w:i w:val="0"/>
                <w:color w:val="2D3748"/>
                <w:sz w:val="17"/>
              </w:rPr>
              <w:t>Runs automated assertions: non-overlapping clinic schedules, FK integrity, and S-curve validation.</w:t>
            </w:r>
          </w:p>
        </w:tc>
      </w:tr>
      <w:tr>
        <w:tc>
          <w:tcPr>
            <w:tcW w:type="dxa" w:w="1728"/>
            <w:shd w:fill="FFFFFF"/>
            <w:tcMar>
              <w:top w:w="60" w:type="dxa"/>
              <w:bottom w:w="60" w:type="dxa"/>
              <w:left w:w="80" w:type="dxa"/>
              <w:right w:w="80" w:type="dxa"/>
            </w:tcMar>
          </w:tcPr>
          <w:p>
            <w:pPr>
              <w:spacing w:before="0" w:after="0"/>
            </w:pPr>
            <w:r>
              <w:rPr>
                <w:rFonts w:ascii="Segoe UI" w:hAnsi="Segoe UI"/>
                <w:b/>
                <w:i w:val="0"/>
                <w:color w:val="2D3748"/>
                <w:sz w:val="17"/>
              </w:rPr>
              <w:t>Cell 21</w:t>
            </w:r>
          </w:p>
        </w:tc>
        <w:tc>
          <w:tcPr>
            <w:tcW w:type="dxa" w:w="3168"/>
            <w:shd w:fill="FFFFFF"/>
            <w:tcMar>
              <w:top w:w="60" w:type="dxa"/>
              <w:bottom w:w="60" w:type="dxa"/>
              <w:left w:w="80" w:type="dxa"/>
              <w:right w:w="80" w:type="dxa"/>
            </w:tcMar>
          </w:tcPr>
          <w:p>
            <w:pPr>
              <w:spacing w:before="0" w:after="0"/>
            </w:pPr>
            <w:r>
              <w:rPr>
                <w:rFonts w:ascii="Segoe UI" w:hAnsi="Segoe UI"/>
                <w:b/>
                <w:i w:val="0"/>
                <w:color w:val="2D3748"/>
                <w:sz w:val="17"/>
              </w:rPr>
              <w:t>Option A: Auto-Zip &amp; Download</w:t>
            </w:r>
          </w:p>
        </w:tc>
        <w:tc>
          <w:tcPr>
            <w:tcW w:type="dxa" w:w="5184"/>
            <w:shd w:fill="FFFFFF"/>
            <w:tcMar>
              <w:top w:w="60" w:type="dxa"/>
              <w:bottom w:w="60" w:type="dxa"/>
              <w:left w:w="80" w:type="dxa"/>
              <w:right w:w="80" w:type="dxa"/>
            </w:tcMar>
          </w:tcPr>
          <w:p>
            <w:pPr>
              <w:spacing w:before="0" w:after="0"/>
            </w:pPr>
            <w:r>
              <w:rPr>
                <w:rFonts w:ascii="Segoe UI" w:hAnsi="Segoe UI"/>
                <w:b w:val="0"/>
                <w:i w:val="0"/>
                <w:color w:val="2D3748"/>
                <w:sz w:val="17"/>
              </w:rPr>
              <w:t>Zips ./data/*.csv into pharmaforce360_cairo_dataset.zip and triggers files.download().</w:t>
            </w:r>
          </w:p>
        </w:tc>
      </w:tr>
    </w:tbl>
    <w:p>
      <w:pPr>
        <w:spacing w:before="80"/>
      </w:pPr>
    </w:p>
    <w:p>
      <w:pPr>
        <w:keepNext/>
        <w:spacing w:before="320" w:after="80"/>
      </w:pPr>
      <w:r>
        <w:rPr>
          <w:rFonts w:ascii="Segoe UI" w:hAnsi="Segoe UI"/>
          <w:b/>
          <w:i w:val="0"/>
          <w:color w:val="0A2540"/>
          <w:sz w:val="30"/>
        </w:rPr>
        <w:t>5. Kaggle Dataset Setup &amp; 10.0 Usability Packaging</w:t>
      </w:r>
    </w:p>
    <w:p>
      <w:pPr>
        <w:spacing w:before="0" w:after="80" w:line="276" w:lineRule="auto"/>
      </w:pPr>
      <w:r>
        <w:rPr>
          <w:rFonts w:ascii="Segoe UI" w:hAnsi="Segoe UI"/>
          <w:b w:val="0"/>
          <w:i w:val="0"/>
          <w:color w:val="2D3748"/>
          <w:sz w:val="20"/>
        </w:rPr>
        <w:t>Kaggle evaluates datasets using a strict automated 10.0 Usability scoring algorithm. To achieve a flawless 10.0/10.0 score, the dataset directory must contain clean CSV files, complete JSON metadata, a rich data dictionary, and an engaging problem narrative with starter tasks.</w:t>
      </w:r>
    </w:p>
    <w:p>
      <w:pPr>
        <w:keepNext/>
        <w:spacing w:before="240" w:after="60"/>
      </w:pPr>
      <w:r>
        <w:rPr>
          <w:rFonts w:ascii="Segoe UI" w:hAnsi="Segoe UI"/>
          <w:b/>
          <w:i w:val="0"/>
          <w:color w:val="00A3E0"/>
          <w:sz w:val="25"/>
        </w:rPr>
        <w:t>Kaggle Directory Layout (`kaggle/`)</w:t>
      </w:r>
    </w:p>
    <w:tbl>
      <w:tblPr>
        <w:tblW w:type="auto" w:w="0"/>
        <w:jc w:val="center"/>
        <w:tblLayout w:type="fixed"/>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before="0" w:after="0" w:line="264" w:lineRule="auto"/>
            </w:pPr>
            <w:r>
              <w:rPr>
                <w:rFonts w:ascii="Consolas" w:hAnsi="Consolas"/>
                <w:b w:val="0"/>
                <w:i w:val="0"/>
                <w:color w:val="E2E8F0"/>
                <w:sz w:val="17"/>
              </w:rPr>
              <w:t>kaggle/</w:t>
              <w:br/>
              <w:t>├── dataset-metadata.json      # Official Kaggle API metadata (title, license, keywords)</w:t>
              <w:br/>
              <w:t>├── data_dictionary.md         # Full column-by-column schema documentation</w:t>
              <w:br/>
              <w:t>└── README_KAGGLE.md           # Business narrative, schema diagram &amp; ML starter challenges</w:t>
            </w:r>
          </w:p>
        </w:tc>
      </w:tr>
    </w:tbl>
    <w:p>
      <w:pPr>
        <w:spacing w:before="0" w:after="60"/>
      </w:pPr>
    </w:p>
    <w:p>
      <w:pPr>
        <w:keepNext/>
        <w:spacing w:before="240" w:after="60"/>
      </w:pPr>
      <w:r>
        <w:rPr>
          <w:rFonts w:ascii="Segoe UI" w:hAnsi="Segoe UI"/>
          <w:b/>
          <w:i w:val="0"/>
          <w:color w:val="00A3E0"/>
          <w:sz w:val="25"/>
        </w:rPr>
        <w:t>Exact `dataset-metadata.json` Specification</w:t>
      </w:r>
    </w:p>
    <w:tbl>
      <w:tblPr>
        <w:tblW w:type="auto" w:w="0"/>
        <w:jc w:val="center"/>
        <w:tblLayout w:type="fixed"/>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before="0" w:after="0" w:line="264" w:lineRule="auto"/>
            </w:pPr>
            <w:r>
              <w:rPr>
                <w:rFonts w:ascii="Consolas" w:hAnsi="Consolas"/>
                <w:b w:val="0"/>
                <w:i w:val="0"/>
                <w:color w:val="E2E8F0"/>
                <w:sz w:val="17"/>
              </w:rPr>
              <w:t>{</w:t>
              <w:br/>
              <w:t xml:space="preserve">  "title": "PharmaForce 360: Greater Cairo Pharmaceutical Commercial &amp; Field Analytics",</w:t>
              <w:br/>
              <w:t xml:space="preserve">  "id": "your-kaggle-username/pharmaforce360-cairo-commercial-analytics",</w:t>
              <w:br/>
              <w:t xml:space="preserve">  "licenses": [</w:t>
              <w:br/>
              <w:t xml:space="preserve">    {</w:t>
              <w:br/>
              <w:t xml:space="preserve">      "name": "CC-BY-4.0"</w:t>
              <w:br/>
              <w:t xml:space="preserve">    }</w:t>
              <w:br/>
              <w:t xml:space="preserve">  ],</w:t>
              <w:br/>
              <w:t xml:space="preserve">  "keywords": [</w:t>
              <w:br/>
              <w:t xml:space="preserve">    "healthcare",</w:t>
              <w:br/>
              <w:t xml:space="preserve">    "pharmaceuticals",</w:t>
              <w:br/>
              <w:t xml:space="preserve">    "sales-analytics",</w:t>
              <w:br/>
              <w:t xml:space="preserve">    "field-force-management",</w:t>
              <w:br/>
              <w:t xml:space="preserve">    "crm",</w:t>
              <w:br/>
              <w:t xml:space="preserve">    "machine-learning",</w:t>
              <w:br/>
              <w:t xml:space="preserve">    "egypt",</w:t>
              <w:br/>
              <w:t xml:space="preserve">    "cairo"</w:t>
              <w:br/>
              <w:t xml:space="preserve">  ],</w:t>
              <w:br/>
              <w:t xml:space="preserve">  "subtitle": "24-Month synthetic field detailing, doctor timetables, pharmacy sell-out &amp; ML in EGP",</w:t>
              <w:br/>
              <w:t xml:space="preserve">  "description": "kaggle/README_KAGGLE.md"</w:t>
              <w:br/>
              <w:t>}</w:t>
            </w:r>
          </w:p>
        </w:tc>
      </w:tr>
    </w:tbl>
    <w:p>
      <w:pPr>
        <w:spacing w:before="0" w:after="60"/>
      </w:pPr>
    </w:p>
    <w:p>
      <w:pPr>
        <w:keepNext/>
        <w:spacing w:before="240" w:after="60"/>
      </w:pPr>
      <w:r>
        <w:rPr>
          <w:rFonts w:ascii="Segoe UI" w:hAnsi="Segoe UI"/>
          <w:b/>
          <w:i w:val="0"/>
          <w:color w:val="00A3E0"/>
          <w:sz w:val="25"/>
        </w:rPr>
        <w:t>Kaggle 10.0 Usability Checklist Enforced in the Project</w:t>
      </w:r>
    </w:p>
    <w:p>
      <w:pPr>
        <w:pStyle w:val="ListBullet"/>
        <w:spacing w:before="0" w:after="50" w:line="276" w:lineRule="auto"/>
      </w:pPr>
      <w:r>
        <w:rPr>
          <w:rFonts w:ascii="Segoe UI" w:hAnsi="Segoe UI"/>
          <w:b/>
          <w:i w:val="0"/>
          <w:color w:val="0A2540"/>
          <w:sz w:val="19"/>
        </w:rPr>
        <w:t>1. Clean Tabular Format:</w:t>
      </w:r>
      <w:r>
        <w:rPr>
          <w:rFonts w:ascii="Segoe UI" w:hAnsi="Segoe UI"/>
          <w:b w:val="0"/>
          <w:i w:val="0"/>
          <w:color w:val="2D3748"/>
          <w:sz w:val="19"/>
        </w:rPr>
        <w:t xml:space="preserve"> All 15 files are standard UTF-8 CSVs with explicit headers, zero NaN index columns, and standard ISO dates (YYYY-MM-DD).</w:t>
      </w:r>
    </w:p>
    <w:p>
      <w:pPr>
        <w:pStyle w:val="ListBullet"/>
        <w:spacing w:before="0" w:after="50" w:line="276" w:lineRule="auto"/>
      </w:pPr>
      <w:r>
        <w:rPr>
          <w:rFonts w:ascii="Segoe UI" w:hAnsi="Segoe UI"/>
          <w:b/>
          <w:i w:val="0"/>
          <w:color w:val="0A2540"/>
          <w:sz w:val="19"/>
        </w:rPr>
        <w:t>2. Complete Data Dictionary:</w:t>
      </w:r>
      <w:r>
        <w:rPr>
          <w:rFonts w:ascii="Segoe UI" w:hAnsi="Segoe UI"/>
          <w:b w:val="0"/>
          <w:i w:val="0"/>
          <w:color w:val="2D3748"/>
          <w:sz w:val="19"/>
        </w:rPr>
        <w:t xml:space="preserve"> data_dictionary.md contains an explicit Markdown table for every CSV defining Column Name, Data Type, Key Role (PK/FK), Description, and Sample Value.</w:t>
      </w:r>
    </w:p>
    <w:p>
      <w:pPr>
        <w:pStyle w:val="ListBullet"/>
        <w:spacing w:before="0" w:after="50" w:line="276" w:lineRule="auto"/>
      </w:pPr>
      <w:r>
        <w:rPr>
          <w:rFonts w:ascii="Segoe UI" w:hAnsi="Segoe UI"/>
          <w:b/>
          <w:i w:val="0"/>
          <w:color w:val="0A2540"/>
          <w:sz w:val="19"/>
        </w:rPr>
        <w:t>3. Domain Narrative:</w:t>
      </w:r>
      <w:r>
        <w:rPr>
          <w:rFonts w:ascii="Segoe UI" w:hAnsi="Segoe UI"/>
          <w:b w:val="0"/>
          <w:i w:val="0"/>
          <w:color w:val="2D3748"/>
          <w:sz w:val="19"/>
        </w:rPr>
        <w:t xml:space="preserve"> README_KAGGLE.md explains the Egyptian pharmaceutical market, the Big 5 distributors, the doctor tiering structure, and the 'Brick Effect'.</w:t>
      </w:r>
    </w:p>
    <w:p>
      <w:pPr>
        <w:pStyle w:val="ListBullet"/>
        <w:spacing w:before="0" w:after="50" w:line="276" w:lineRule="auto"/>
      </w:pPr>
      <w:r>
        <w:rPr>
          <w:rFonts w:ascii="Segoe UI" w:hAnsi="Segoe UI"/>
          <w:b/>
          <w:i w:val="0"/>
          <w:color w:val="0A2540"/>
          <w:sz w:val="19"/>
        </w:rPr>
        <w:t>4. Starter Challenges &amp; Tasks:</w:t>
      </w:r>
      <w:r>
        <w:rPr>
          <w:rFonts w:ascii="Segoe UI" w:hAnsi="Segoe UI"/>
          <w:b w:val="0"/>
          <w:i w:val="0"/>
          <w:color w:val="2D3748"/>
          <w:sz w:val="19"/>
        </w:rPr>
        <w:t xml:space="preserve"> Outlines 3 Kaggle Notebook tasks: (a) Predicting Prescriber Churn with LightGBM, (b) Spatial Haversine Catchment Radius Modeling, and (c) Measuring Doctor Deal ROI.</w:t>
      </w:r>
    </w:p>
    <w:p>
      <w:pPr>
        <w:pStyle w:val="ListBullet"/>
        <w:spacing w:before="0" w:after="50" w:line="276" w:lineRule="auto"/>
      </w:pPr>
      <w:r>
        <w:rPr>
          <w:rFonts w:ascii="Segoe UI" w:hAnsi="Segoe UI"/>
          <w:b/>
          <w:i w:val="0"/>
          <w:color w:val="0A2540"/>
          <w:sz w:val="19"/>
        </w:rPr>
        <w:t>5. Metadata &amp; Licensing:</w:t>
      </w:r>
      <w:r>
        <w:rPr>
          <w:rFonts w:ascii="Segoe UI" w:hAnsi="Segoe UI"/>
          <w:b w:val="0"/>
          <w:i w:val="0"/>
          <w:color w:val="2D3748"/>
          <w:sz w:val="19"/>
        </w:rPr>
        <w:t xml:space="preserve"> Includes license CC-BY-4.0, 8 relevant tags, and a high-resolution 1200x800 banner image.</w:t>
      </w:r>
    </w:p>
    <w:p>
      <w:pPr>
        <w:keepNext/>
        <w:spacing w:before="240" w:after="60"/>
      </w:pPr>
      <w:r>
        <w:rPr>
          <w:rFonts w:ascii="Segoe UI" w:hAnsi="Segoe UI"/>
          <w:b/>
          <w:i w:val="0"/>
          <w:color w:val="00A3E0"/>
          <w:sz w:val="25"/>
        </w:rPr>
        <w:t>1-Click Kaggle Publication via Terminal / Colab</w:t>
      </w:r>
    </w:p>
    <w:tbl>
      <w:tblPr>
        <w:tblW w:type="auto" w:w="0"/>
        <w:jc w:val="center"/>
        <w:tblLayout w:type="fixed"/>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before="0" w:after="0" w:line="264" w:lineRule="auto"/>
            </w:pPr>
            <w:r>
              <w:rPr>
                <w:rFonts w:ascii="Consolas" w:hAnsi="Consolas"/>
                <w:b w:val="0"/>
                <w:i w:val="0"/>
                <w:color w:val="E2E8F0"/>
                <w:sz w:val="17"/>
              </w:rPr>
              <w:t># Place your kaggle.json in ~/.kaggle/ (or /root/.kaggle/ in Colab)</w:t>
              <w:br/>
              <w:t># Initialize and push directly:</w:t>
              <w:br/>
              <w:t>kaggle datasets create -p ./kaggle/ -u</w:t>
            </w:r>
          </w:p>
        </w:tc>
      </w:tr>
    </w:tbl>
    <w:p>
      <w:pPr>
        <w:spacing w:before="0" w:after="60"/>
      </w:pPr>
    </w:p>
    <w:p>
      <w:pPr>
        <w:keepNext/>
        <w:spacing w:before="320" w:after="80"/>
      </w:pPr>
      <w:r>
        <w:rPr>
          <w:rFonts w:ascii="Segoe UI" w:hAnsi="Segoe UI"/>
          <w:b/>
          <w:i w:val="0"/>
          <w:color w:val="0A2540"/>
          <w:sz w:val="30"/>
        </w:rPr>
        <w:t>6. Power BI Project (.pbip) Architecture &amp; Semantic Layer Setup</w:t>
      </w:r>
    </w:p>
    <w:p>
      <w:pPr>
        <w:spacing w:before="0" w:after="80" w:line="276" w:lineRule="auto"/>
      </w:pPr>
      <w:r>
        <w:rPr>
          <w:rFonts w:ascii="Segoe UI" w:hAnsi="Segoe UI"/>
          <w:b w:val="0"/>
          <w:i w:val="0"/>
          <w:color w:val="2D3748"/>
          <w:sz w:val="20"/>
        </w:rPr>
        <w:t>Modern enterprise Power BI solutions avoid legacy monolithic .pbix binary files. PharmaForce 360° uses the modern Power BI Project (.pbip) format, saving reports and semantic models as clear text folders (TMDL / BIM) fully compatible with Git version control and collaborative peer review.</w:t>
      </w:r>
    </w:p>
    <w:p>
      <w:pPr>
        <w:keepNext/>
        <w:spacing w:before="240" w:after="60"/>
      </w:pPr>
      <w:r>
        <w:rPr>
          <w:rFonts w:ascii="Segoe UI" w:hAnsi="Segoe UI"/>
          <w:b/>
          <w:i w:val="0"/>
          <w:color w:val="00A3E0"/>
          <w:sz w:val="25"/>
        </w:rPr>
        <w:t>Power BI Project Folder Hierarchy (`pbip/`)</w:t>
      </w:r>
    </w:p>
    <w:tbl>
      <w:tblPr>
        <w:tblW w:type="auto" w:w="0"/>
        <w:jc w:val="center"/>
        <w:tblLayout w:type="fixed"/>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before="0" w:after="0" w:line="264" w:lineRule="auto"/>
            </w:pPr>
            <w:r>
              <w:rPr>
                <w:rFonts w:ascii="Consolas" w:hAnsi="Consolas"/>
                <w:b w:val="0"/>
                <w:i w:val="0"/>
                <w:color w:val="E2E8F0"/>
                <w:sz w:val="17"/>
              </w:rPr>
              <w:t>pbip/</w:t>
              <w:br/>
              <w:t>├── PharmaForce360.pbip                   # Root project descriptor file</w:t>
              <w:br/>
              <w:t>├── PharmaForce360.Dataset/               # Semantic Model definition</w:t>
              <w:br/>
              <w:t>│   ├── definition.pbidataset             # Dataset schema metadata</w:t>
              <w:br/>
              <w:t>│   ├── model.bim                         # Tabular model schema (or TMDL directory)</w:t>
              <w:br/>
              <w:t>│   └── diagramLayout.json                # Star schema diagram visual coordinates</w:t>
              <w:br/>
              <w:t>├── PharmaForce360.Report/                # Visual Report layer</w:t>
              <w:br/>
              <w:t>│   ├── definition.pbir                   # Report definition</w:t>
              <w:br/>
              <w:t>│   ├── report.json                       # Visual containers, pages, visual configs</w:t>
              <w:br/>
              <w:t>│   └── StaticResources/                  # Custom theme JSON, icons, backgrounds</w:t>
              <w:br/>
              <w:t>└── dax_measures_catalog.md               # Master documentation of all DAX measures</w:t>
            </w:r>
          </w:p>
        </w:tc>
      </w:tr>
    </w:tbl>
    <w:p>
      <w:pPr>
        <w:spacing w:before="0" w:after="60"/>
      </w:pPr>
    </w:p>
    <w:p>
      <w:pPr>
        <w:keepNext/>
        <w:spacing w:before="240" w:after="60"/>
      </w:pPr>
      <w:r>
        <w:rPr>
          <w:rFonts w:ascii="Segoe UI" w:hAnsi="Segoe UI"/>
          <w:b/>
          <w:i w:val="0"/>
          <w:color w:val="00A3E0"/>
          <w:sz w:val="25"/>
        </w:rPr>
        <w:t>DAX Measure Display Folders &amp; Key Measures Catalog</w:t>
      </w:r>
    </w:p>
    <w:p>
      <w:pPr>
        <w:spacing w:before="0" w:after="80" w:line="276" w:lineRule="auto"/>
      </w:pPr>
      <w:r>
        <w:rPr>
          <w:rFonts w:ascii="Segoe UI" w:hAnsi="Segoe UI"/>
          <w:b w:val="0"/>
          <w:i w:val="0"/>
          <w:color w:val="2D3748"/>
          <w:sz w:val="20"/>
        </w:rPr>
        <w:t>All DAX measures are organized cleanly inside a dedicated `_Measures` table across 5 business display folders:</w:t>
      </w:r>
    </w:p>
    <w:p>
      <w:pPr>
        <w:pStyle w:val="ListBullet"/>
        <w:spacing w:before="0" w:after="50" w:line="276" w:lineRule="auto"/>
      </w:pPr>
      <w:r>
        <w:rPr>
          <w:rFonts w:ascii="Segoe UI" w:hAnsi="Segoe UI"/>
          <w:b/>
          <w:i w:val="0"/>
          <w:color w:val="0A2540"/>
          <w:sz w:val="19"/>
        </w:rPr>
        <w:t xml:space="preserve">📁 1. Commercial Sales KPIs: </w:t>
      </w:r>
      <w:r>
        <w:rPr>
          <w:rFonts w:ascii="Segoe UI" w:hAnsi="Segoe UI"/>
          <w:b w:val="0"/>
          <w:i w:val="0"/>
          <w:color w:val="2D3748"/>
          <w:sz w:val="19"/>
        </w:rPr>
        <w:t>• [Total Net Sales EGP] = SUM(fact_pharmacy_sales[Gross_Revenue_EGP])</w:t>
        <w:br/>
        <w:t>• [Sales Quota EGP] = SUM(fact_rep_targets[Target_Revenue_EGP])</w:t>
        <w:br/>
        <w:t>• [Quota Attainment %] = DIVIDE([Total Net Sales EGP], [Sales Quota EGP], 0)</w:t>
        <w:br/>
        <w:t>• [Company Market Share %] = DIVIDE([Total Net Sales EGP], [Total Net Sales EGP] + SUM(fact_pharmacy_sales[Competitor_Revenue_EGP]), 0)</w:t>
      </w:r>
    </w:p>
    <w:p>
      <w:pPr>
        <w:pStyle w:val="ListBullet"/>
        <w:spacing w:before="0" w:after="50" w:line="276" w:lineRule="auto"/>
      </w:pPr>
      <w:r>
        <w:rPr>
          <w:rFonts w:ascii="Segoe UI" w:hAnsi="Segoe UI"/>
          <w:b/>
          <w:i w:val="0"/>
          <w:color w:val="0A2540"/>
          <w:sz w:val="19"/>
        </w:rPr>
        <w:t xml:space="preserve">📁 2. Field Activity KPIs: </w:t>
      </w:r>
      <w:r>
        <w:rPr>
          <w:rFonts w:ascii="Segoe UI" w:hAnsi="Segoe UI"/>
          <w:b w:val="0"/>
          <w:i w:val="0"/>
          <w:color w:val="2D3748"/>
          <w:sz w:val="19"/>
        </w:rPr>
        <w:t>• [Completed Doctor Visits] = CALCULATE(COUNTROWS(fact_rep_visits), fact_rep_visits[Visit_Status] = "Completed")</w:t>
        <w:br/>
        <w:t>• [Call Plan Compliance %] = DIVIDE([Completed Doctor Visits], SUM(fact_rep_targets[Target_Doctor_Call_Count]), 0)</w:t>
        <w:br/>
        <w:t>• [Tier A Coverage %] = DIVIDE([Tier A Doctors Visited &gt;= 2x], [Total Tier A Doctors], 0)</w:t>
        <w:br/>
        <w:t>• [Weekly Plan Adherence %] = DIVIDE(CALCULATE(COUNTROWS(fact_rep_weekly_plan), fact_rep_weekly_plan[Execution_Status] = "Executed as Planned"), COUNTROWS(fact_rep_weekly_plan), 0)</w:t>
      </w:r>
    </w:p>
    <w:p>
      <w:pPr>
        <w:pStyle w:val="ListBullet"/>
        <w:spacing w:before="0" w:after="50" w:line="276" w:lineRule="auto"/>
      </w:pPr>
      <w:r>
        <w:rPr>
          <w:rFonts w:ascii="Segoe UI" w:hAnsi="Segoe UI"/>
          <w:b/>
          <w:i w:val="0"/>
          <w:color w:val="0A2540"/>
          <w:sz w:val="19"/>
        </w:rPr>
        <w:t xml:space="preserve">📁 3. Pharmacy &amp; Supply Chain KPIs: </w:t>
      </w:r>
      <w:r>
        <w:rPr>
          <w:rFonts w:ascii="Segoe UI" w:hAnsi="Segoe UI"/>
          <w:b w:val="0"/>
          <w:i w:val="0"/>
          <w:color w:val="2D3748"/>
          <w:sz w:val="19"/>
        </w:rPr>
        <w:t>• [Closed-Loop Verification Rate %] = DIVIDE(CALCULATE(COUNTROWS(fact_pharmacy_visits), fact_pharmacy_visits[Doctor_Rx_Seen_In_Pharmacy] = TRUE), COUNTROWS(fact_pharmacy_visits), 0)</w:t>
        <w:br/>
        <w:t>• [Transfer Order Units] = SUM(fact_pharmacy_visits[Transfer_Order_To_IbnSina_Units])</w:t>
        <w:br/>
        <w:t>• [Competitor Substitution Rate %] = DIVIDE(CALCULATE(COUNTROWS(fact_pharmacy_visits), fact_pharmacy_visits[Competitor_Substitution_Flag] = TRUE), COUNTROWS(fact_pharmacy_visits), 0)</w:t>
      </w:r>
    </w:p>
    <w:p>
      <w:pPr>
        <w:pStyle w:val="ListBullet"/>
        <w:spacing w:before="0" w:after="50" w:line="276" w:lineRule="auto"/>
      </w:pPr>
      <w:r>
        <w:rPr>
          <w:rFonts w:ascii="Segoe UI" w:hAnsi="Segoe UI"/>
          <w:b/>
          <w:i w:val="0"/>
          <w:color w:val="0A2540"/>
          <w:sz w:val="19"/>
        </w:rPr>
        <w:t xml:space="preserve">📁 4. Promotional Deal ROI: </w:t>
      </w:r>
      <w:r>
        <w:rPr>
          <w:rFonts w:ascii="Segoe UI" w:hAnsi="Segoe UI"/>
          <w:b w:val="0"/>
          <w:i w:val="0"/>
          <w:color w:val="2D3748"/>
          <w:sz w:val="19"/>
        </w:rPr>
        <w:t>• [Total Dr Investment EGP] = SUM(fact_dr_expense[Amount_Of_Money])</w:t>
        <w:br/>
        <w:t>• [Incremental Sales EGP] = [Total Net Sales EGP] - [Baseline Brick Demand EGP]</w:t>
        <w:br/>
        <w:t>• [Doctor Deal ROI %] = DIVIDE([Incremental Sales EGP] - [Total Dr Investment EGP], [Total Dr Investment EGP], 0)</w:t>
      </w:r>
    </w:p>
    <w:p>
      <w:pPr>
        <w:pStyle w:val="ListBullet"/>
        <w:spacing w:before="0" w:after="50" w:line="276" w:lineRule="auto"/>
      </w:pPr>
      <w:r>
        <w:rPr>
          <w:rFonts w:ascii="Segoe UI" w:hAnsi="Segoe UI"/>
          <w:b/>
          <w:i w:val="0"/>
          <w:color w:val="0A2540"/>
          <w:sz w:val="19"/>
        </w:rPr>
        <w:t xml:space="preserve">📁 5. Dynamic Spatial Haversine Distance (DAX): </w:t>
      </w:r>
      <w:r>
        <w:rPr>
          <w:rFonts w:ascii="Segoe UI" w:hAnsi="Segoe UI"/>
          <w:b w:val="0"/>
          <w:i w:val="0"/>
          <w:color w:val="2D3748"/>
          <w:sz w:val="19"/>
        </w:rPr>
        <w:t>Calculates straight-line meters between selected clinic (Lat1, Lon1) and all pharmacies (Lat2, Lon2):</w:t>
        <w:br/>
        <w:t xml:space="preserve">Distance_Meters = </w:t>
        <w:br/>
        <w:t>VAR Lat1 = SELECTEDVALUE(dim_doctor_schedule[Clinic_Latitude]) * PI() / 180</w:t>
        <w:br/>
        <w:t>VAR Lon1 = SELECTEDVALUE(dim_doctor_schedule[Clinic_Longitude]) * PI() / 180</w:t>
        <w:br/>
        <w:t>VAR Lat2 = SELECTEDVALUE(dim_pharmacy[Pharmacy_Latitude]) * PI() / 180</w:t>
        <w:br/>
        <w:t>VAR Lon2 = SELECTEDVALUE(dim_pharmacy[Pharmacy_Longitude]) * PI() / 180</w:t>
        <w:br/>
        <w:t>VAR dLat = Lat2 - Lat1</w:t>
        <w:br/>
        <w:t>VAR dLon = Lon2 - Lon1</w:t>
        <w:br/>
        <w:t>VAR a = SIN(dLat/2)^2 + COS(Lat1) * COS(Lat2) * SIN(dLon/2)^2</w:t>
        <w:br/>
        <w:t>VAR c = 2 * ATAN2(SQRT(1 - a), SQRT(a))</w:t>
        <w:br/>
        <w:t>RETURN 6371000 * c</w:t>
      </w:r>
    </w:p>
    <w:p>
      <w:pPr>
        <w:keepNext/>
        <w:spacing w:before="240" w:after="60"/>
      </w:pPr>
      <w:r>
        <w:rPr>
          <w:rFonts w:ascii="Segoe UI" w:hAnsi="Segoe UI"/>
          <w:b/>
          <w:i w:val="0"/>
          <w:color w:val="00A3E0"/>
          <w:sz w:val="25"/>
        </w:rPr>
        <w:t>Power BI 5-Page Information Architecture</w:t>
      </w:r>
    </w:p>
    <w:p>
      <w:pPr>
        <w:pStyle w:val="ListBullet"/>
        <w:spacing w:before="0" w:after="50" w:line="276" w:lineRule="auto"/>
      </w:pPr>
      <w:r>
        <w:rPr>
          <w:rFonts w:ascii="Segoe UI" w:hAnsi="Segoe UI"/>
          <w:b/>
          <w:i w:val="0"/>
          <w:color w:val="0A2540"/>
          <w:sz w:val="19"/>
        </w:rPr>
        <w:t>Page 1: Home Dashboard &amp; Navigation Hub —</w:t>
      </w:r>
      <w:r>
        <w:rPr>
          <w:rFonts w:ascii="Segoe UI" w:hAnsi="Segoe UI"/>
          <w:b w:val="0"/>
          <w:i w:val="0"/>
          <w:color w:val="2D3748"/>
          <w:sz w:val="19"/>
        </w:rPr>
        <w:t xml:space="preserve"> Executive orientation hub, Kaggle dataset documentation links, Global Pulse Cards in EGP (Total Network Reach, YTD Net Revenue, Call Plan Compliance %, AI Prescribers at Risk), and interactive navigation buttons.</w:t>
      </w:r>
    </w:p>
    <w:p>
      <w:pPr>
        <w:pStyle w:val="ListBullet"/>
        <w:spacing w:before="0" w:after="50" w:line="276" w:lineRule="auto"/>
      </w:pPr>
      <w:r>
        <w:rPr>
          <w:rFonts w:ascii="Segoe UI" w:hAnsi="Segoe UI"/>
          <w:b/>
          <w:i w:val="0"/>
          <w:color w:val="0A2540"/>
          <w:sz w:val="19"/>
        </w:rPr>
        <w:t>Page 2: Executive Commercial Performance —</w:t>
      </w:r>
      <w:r>
        <w:rPr>
          <w:rFonts w:ascii="Segoe UI" w:hAnsi="Segoe UI"/>
          <w:b w:val="0"/>
          <w:i w:val="0"/>
          <w:color w:val="2D3748"/>
          <w:sz w:val="19"/>
        </w:rPr>
        <w:t xml:space="preserve"> Targeted at Sales Directors. Sales quotas vs. actuals in EGP, Monthly Revenue Trajectory vs. Target, Therapeutic Line Matrix with variance data bars, and Rep Attainment Leaderboard.</w:t>
      </w:r>
    </w:p>
    <w:p>
      <w:pPr>
        <w:pStyle w:val="ListBullet"/>
        <w:spacing w:before="0" w:after="50" w:line="276" w:lineRule="auto"/>
      </w:pPr>
      <w:r>
        <w:rPr>
          <w:rFonts w:ascii="Segoe UI" w:hAnsi="Segoe UI"/>
          <w:b/>
          <w:i w:val="0"/>
          <w:color w:val="0A2540"/>
          <w:sz w:val="19"/>
        </w:rPr>
        <w:t>Page 3: Field Force Activity &amp; HCP Detailing —</w:t>
      </w:r>
      <w:r>
        <w:rPr>
          <w:rFonts w:ascii="Segoe UI" w:hAnsi="Segoe UI"/>
          <w:b w:val="0"/>
          <w:i w:val="0"/>
          <w:color w:val="2D3748"/>
          <w:sz w:val="19"/>
        </w:rPr>
        <w:t xml:space="preserve"> Targeted at Field Sales Managers. Call plan compliance, Tier A doctor coverage % (target 95%), Detailing Share of Voice (SOV), Sample Drop Tracker, and Rep Activity Heatmap by day and shift.</w:t>
      </w:r>
    </w:p>
    <w:p>
      <w:pPr>
        <w:pStyle w:val="ListBullet"/>
        <w:spacing w:before="0" w:after="50" w:line="276" w:lineRule="auto"/>
      </w:pPr>
      <w:r>
        <w:rPr>
          <w:rFonts w:ascii="Segoe UI" w:hAnsi="Segoe UI"/>
          <w:b/>
          <w:i w:val="0"/>
          <w:color w:val="0A2540"/>
          <w:sz w:val="19"/>
        </w:rPr>
        <w:t>Page 4: Greater Cairo Bricks &amp; Pharmacy Dynamics —</w:t>
      </w:r>
      <w:r>
        <w:rPr>
          <w:rFonts w:ascii="Segoe UI" w:hAnsi="Segoe UI"/>
          <w:b w:val="0"/>
          <w:i w:val="0"/>
          <w:color w:val="2D3748"/>
          <w:sz w:val="19"/>
        </w:rPr>
        <w:t xml:space="preserve"> Targeted at Territory Analysts. The Brick Effect Scatter Plot (Rep Calls vs. Pharmacy Revenue Uplift in EGP), Greater Cairo Map with circle-of-influence radius slicing, Top Dispensing Pharmacies, and Distributor Channel Split (Ibn Sina vs UCP vs المخازن).</w:t>
      </w:r>
    </w:p>
    <w:p>
      <w:pPr>
        <w:pStyle w:val="ListBullet"/>
        <w:spacing w:before="0" w:after="50" w:line="276" w:lineRule="auto"/>
      </w:pPr>
      <w:r>
        <w:rPr>
          <w:rFonts w:ascii="Segoe UI" w:hAnsi="Segoe UI"/>
          <w:b/>
          <w:i w:val="0"/>
          <w:color w:val="0A2540"/>
          <w:sz w:val="19"/>
        </w:rPr>
        <w:t>Page 5: AI Field Copilot &amp; Prescriber Risk Center —</w:t>
      </w:r>
      <w:r>
        <w:rPr>
          <w:rFonts w:ascii="Segoe UI" w:hAnsi="Segoe UI"/>
          <w:b w:val="0"/>
          <w:i w:val="0"/>
          <w:color w:val="2D3748"/>
          <w:sz w:val="19"/>
        </w:rPr>
        <w:t xml:space="preserve"> Targeted at Reps and Operational Supervisors. Prescriber Attrition Watchlist (High-risk doctors with SHAP feature drivers), Next-Best-Action Daily Visit Queue (filtered by rep showing open clinic hours, priority score, and target drug), and Doctor Promotional Deal ROI Analysis.</w:t>
      </w:r>
    </w:p>
    <w:p>
      <w:pPr>
        <w:keepNext/>
        <w:spacing w:before="320" w:after="80"/>
      </w:pPr>
      <w:r>
        <w:rPr>
          <w:rFonts w:ascii="Segoe UI" w:hAnsi="Segoe UI"/>
          <w:b/>
          <w:i w:val="0"/>
          <w:color w:val="0A2540"/>
          <w:sz w:val="30"/>
        </w:rPr>
        <w:t>7. Git Architecture &amp; Production .gitignore Setup</w:t>
      </w:r>
    </w:p>
    <w:p>
      <w:pPr>
        <w:spacing w:before="0" w:after="80" w:line="276" w:lineRule="auto"/>
      </w:pPr>
      <w:r>
        <w:rPr>
          <w:rFonts w:ascii="Segoe UI" w:hAnsi="Segoe UI"/>
          <w:b w:val="0"/>
          <w:i w:val="0"/>
          <w:color w:val="2D3748"/>
          <w:sz w:val="20"/>
        </w:rPr>
        <w:t>A proper repository setup ensures that large temporary zip files, local Python virtual environments, and Power BI auto-recovery cache files do not clutter the Git history, while preserving all project code, PBIP semantic text files, and documentation.</w:t>
      </w:r>
    </w:p>
    <w:p>
      <w:pPr>
        <w:keepNext/>
        <w:spacing w:before="240" w:after="60"/>
      </w:pPr>
      <w:r>
        <w:rPr>
          <w:rFonts w:ascii="Segoe UI" w:hAnsi="Segoe UI"/>
          <w:b/>
          <w:i w:val="0"/>
          <w:color w:val="00A3E0"/>
          <w:sz w:val="25"/>
        </w:rPr>
        <w:t>Complete Production `.gitignore` Configuration</w:t>
      </w:r>
    </w:p>
    <w:tbl>
      <w:tblPr>
        <w:tblW w:type="auto" w:w="0"/>
        <w:jc w:val="center"/>
        <w:tblLayout w:type="fixed"/>
        <w:tblLook w:firstColumn="1" w:firstRow="1" w:lastColumn="0" w:lastRow="0" w:noHBand="0" w:noVBand="1" w:val="04A0"/>
      </w:tblPr>
      <w:tblGrid>
        <w:gridCol w:w="10080"/>
      </w:tblGrid>
      <w:tr>
        <w:tc>
          <w:tcPr>
            <w:tcW w:type="dxa" w:w="10080"/>
            <w:shd w:fill="0F172A"/>
            <w:tcMar>
              <w:top w:w="100" w:type="dxa"/>
              <w:bottom w:w="100" w:type="dxa"/>
              <w:left w:w="140" w:type="dxa"/>
              <w:right w:w="140" w:type="dxa"/>
            </w:tcMar>
          </w:tcPr>
          <w:p>
            <w:pPr>
              <w:spacing w:before="0" w:after="0" w:line="264" w:lineRule="auto"/>
            </w:pPr>
            <w:r>
              <w:rPr>
                <w:rFonts w:ascii="Consolas" w:hAnsi="Consolas"/>
                <w:b w:val="0"/>
                <w:i w:val="0"/>
                <w:color w:val="E2E8F0"/>
                <w:sz w:val="17"/>
              </w:rPr>
              <w:t># ==========================================</w:t>
              <w:br/>
              <w:t># Power BI Project (.pbip) Exclusions</w:t>
              <w:br/>
              <w:t># ==========================================</w:t>
              <w:br/>
              <w:t>*.pbix</w:t>
              <w:br/>
              <w:t>*.pbit</w:t>
              <w:br/>
              <w:t>*.AutoSave*</w:t>
              <w:br/>
              <w:t>PharmaForce360.Dataset/.pbi/</w:t>
              <w:br/>
              <w:t>PharmaForce360.Report/.pbi/</w:t>
              <w:br/>
              <w:t>*.pbiCache*</w:t>
              <w:br/>
              <w:t>**/localSettings.json</w:t>
              <w:br/>
              <w:br/>
              <w:t># ==========================================</w:t>
              <w:br/>
              <w:t># Python &amp; Jupyter Notebook Artifacts</w:t>
              <w:br/>
              <w:t># ==========================================</w:t>
              <w:br/>
              <w:t>__pycache__/</w:t>
              <w:br/>
              <w:t>*.py[cod]</w:t>
              <w:br/>
              <w:t>*$py.class</w:t>
              <w:br/>
              <w:t>*.so</w:t>
              <w:br/>
              <w:t>.Python</w:t>
              <w:br/>
              <w:t>env/</w:t>
              <w:br/>
              <w:t>venv/</w:t>
              <w:br/>
              <w:t>ENV/</w:t>
              <w:br/>
              <w:t>build/</w:t>
              <w:br/>
              <w:t>develop-eggs/</w:t>
              <w:br/>
              <w:t>dist/</w:t>
              <w:br/>
              <w:t>downloads/</w:t>
              <w:br/>
              <w:t>eggs/</w:t>
              <w:br/>
              <w:t>.eggs/</w:t>
              <w:br/>
              <w:t>lib/</w:t>
              <w:br/>
              <w:t>lib64/</w:t>
              <w:br/>
              <w:t>parts/</w:t>
              <w:br/>
              <w:t>sdist/</w:t>
              <w:br/>
              <w:t>var/</w:t>
              <w:br/>
              <w:t>wheels/</w:t>
              <w:br/>
              <w:t>*.egg-info/</w:t>
              <w:br/>
              <w:t>.installed.cfg</w:t>
              <w:br/>
              <w:t>*.egg</w:t>
              <w:br/>
              <w:br/>
              <w:t># Jupyter Notebook Checkpoints</w:t>
              <w:br/>
              <w:t>.ipynb_checkpoints/</w:t>
              <w:br/>
              <w:t>*/.ipynb_checkpoints/*</w:t>
              <w:br/>
              <w:t>*.checkpoint.ipynb</w:t>
              <w:br/>
              <w:br/>
              <w:t># ==========================================</w:t>
              <w:br/>
              <w:t># Large Generated Zips &amp; Temporary Exports</w:t>
              <w:br/>
              <w:t># ==========================================</w:t>
              <w:br/>
              <w:t>*.zip</w:t>
              <w:br/>
              <w:t>*.tar.gz</w:t>
              <w:br/>
              <w:t>*.rar</w:t>
              <w:br/>
              <w:t>scratch/</w:t>
              <w:br/>
              <w:t>tmp/</w:t>
              <w:br/>
              <w:t>temp/</w:t>
              <w:br/>
              <w:t>*.log</w:t>
              <w:br/>
              <w:br/>
              <w:t># ==========================================</w:t>
              <w:br/>
              <w:t># OS &amp; IDE Specific Exclusions</w:t>
              <w:br/>
              <w:t># ==========================================</w:t>
              <w:br/>
              <w:t>.DS_Store</w:t>
              <w:br/>
              <w:t>Thumbs.db</w:t>
              <w:br/>
              <w:t>desktop.ini</w:t>
              <w:br/>
              <w:t>.vscode/*</w:t>
              <w:br/>
              <w:t>!.vscode/settings.json</w:t>
              <w:br/>
              <w:t>!.vscode/extensions.json</w:t>
              <w:br/>
              <w:t>.idea/</w:t>
            </w:r>
          </w:p>
        </w:tc>
      </w:tr>
    </w:tbl>
    <w:p>
      <w:pPr>
        <w:spacing w:before="0" w:after="60"/>
      </w:pPr>
    </w:p>
    <w:p>
      <w:pPr>
        <w:keepNext/>
        <w:spacing w:before="320" w:after="80"/>
      </w:pPr>
      <w:r>
        <w:rPr>
          <w:rFonts w:ascii="Segoe UI" w:hAnsi="Segoe UI"/>
          <w:b/>
          <w:i w:val="0"/>
          <w:color w:val="0A2540"/>
          <w:sz w:val="30"/>
        </w:rPr>
        <w:t>8. Quick-Start Execution Directive for Fresh Conversation</w:t>
      </w:r>
    </w:p>
    <w:p>
      <w:pPr>
        <w:spacing w:before="0" w:after="80" w:line="276" w:lineRule="auto"/>
      </w:pPr>
      <w:r>
        <w:rPr>
          <w:rFonts w:ascii="Segoe UI" w:hAnsi="Segoe UI"/>
          <w:b w:val="0"/>
          <w:i w:val="0"/>
          <w:color w:val="2D3748"/>
          <w:sz w:val="20"/>
        </w:rPr>
        <w:t>When starting the fresh session in Antigravity IDE, copy and paste this exact prompt:</w:t>
      </w:r>
    </w:p>
    <w:tbl>
      <w:tblPr>
        <w:tblW w:type="auto" w:w="0"/>
        <w:jc w:val="center"/>
        <w:tblLayout w:type="fixed"/>
        <w:tblLook w:firstColumn="1" w:firstRow="1" w:lastColumn="0" w:lastRow="0" w:noHBand="0" w:noVBand="1" w:val="04A0"/>
      </w:tblPr>
      <w:tblGrid>
        <w:gridCol w:w="10080"/>
      </w:tblGrid>
      <w:tr>
        <w:tc>
          <w:tcPr>
            <w:tcW w:type="dxa" w:w="10080"/>
            <w:shd w:fill="F1F5F9"/>
            <w:tcMar>
              <w:top w:w="120" w:type="dxa"/>
              <w:bottom w:w="120" w:type="dxa"/>
              <w:left w:w="180" w:type="dxa"/>
              <w:right w:w="180" w:type="dxa"/>
            </w:tcMar>
            <w:tcBorders>
              <w:left w:val="single" w:sz="36" w:space="0" w:color="00A3E0"/>
              <w:top w:val="none"/>
              <w:right w:val="none"/>
              <w:bottom w:val="none"/>
            </w:tcBorders>
          </w:tcPr>
          <w:p>
            <w:pPr>
              <w:spacing w:before="0" w:after="0"/>
            </w:pPr>
            <w:r>
              <w:rPr>
                <w:rFonts w:ascii="Segoe UI" w:hAnsi="Segoe UI"/>
                <w:b/>
                <w:i w:val="0"/>
                <w:color w:val="0A2540"/>
                <w:sz w:val="19"/>
              </w:rPr>
              <w:t xml:space="preserve">📌 PROMPT TO PASTE IN FRESH CHAT: </w:t>
            </w:r>
            <w:r>
              <w:rPr>
                <w:rFonts w:ascii="Segoe UI" w:hAnsi="Segoe UI"/>
                <w:b w:val="0"/>
                <w:i/>
                <w:color w:val="2D3748"/>
                <w:sz w:val="19"/>
              </w:rPr>
              <w:t>Please read D:\portfolio2026\02_PharmaForce360\pharmaforce360_cairo_dataset\PharmaForce360_Handoff_Blueprint.docx and D:\portfolio2026\HANDOFF.md. Execute the PharmaForce 360° implementation plan by building the Jupyter/Colab notebook notebooks/PharmaForce360_Data_Generator.ipynb following the cell-by-cell table generation architecture, Option A auto-download, Kaggle 10.0 packaging, and Power BI (.pbip) folder setup.</w:t>
            </w:r>
          </w:p>
        </w:tc>
      </w:tr>
    </w:tbl>
    <w:p>
      <w:pPr>
        <w:spacing w:before="0" w:after="6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