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Ines Rekik</w:t>
      </w:r>
    </w:p>
    <w:p>
      <w:pPr>
        <w:spacing w:after="40"/>
        <w:jc w:val="center"/>
      </w:pPr>
      <w:r>
        <w:rPr>
          <w:i/>
          <w:iCs/>
          <w:sz w:val="24"/>
          <w:szCs w:val="24"/>
        </w:rPr>
        <w:t xml:space="preserve">Médecin Généraliste – Santé Numérique</w:t>
      </w:r>
    </w:p>
    <w:p>
      <w:pPr>
        <w:spacing w:after="20"/>
        <w:jc w:val="center"/>
      </w:pPr>
      <w:r>
        <w:rPr>
          <w:color w:val="444444"/>
          <w:sz w:val="18"/>
          <w:szCs w:val="18"/>
        </w:rPr>
        <w:t xml:space="preserve">dr.rekik@email.com  •  +216 71 789 012  •  LinkedIn  •  Tunis, Tunisie</w:t>
      </w:r>
    </w:p>
    <w:p>
      <w:pPr>
        <w:spacing w:after="60"/>
      </w:pPr>
    </w:p>
    <w:p>
      <w:pPr>
        <w:pBdr>
          <w:bottom w:val="single" w:color="148F77" w:sz="6"/>
        </w:pBdr>
        <w:spacing w:after="40" w:before="200"/>
      </w:pPr>
      <w:r>
        <w:rPr>
          <w:b/>
          <w:bCs/>
          <w:color w:val="148F77"/>
          <w:sz w:val="22"/>
          <w:szCs w:val="22"/>
        </w:rPr>
        <w:t xml:space="preserve">RÉSUMÉ</w:t>
      </w:r>
    </w:p>
    <w:p>
      <w:pPr>
        <w:spacing w:after="40"/>
      </w:pPr>
      <w:r>
        <w:rPr>
          <w:sz w:val="20"/>
          <w:szCs w:val="20"/>
        </w:rPr>
        <w:t xml:space="preserve">Médecin généraliste avec 5 ans de pratique clinique et un intérêt marqué pour la santé numérique et la télémédecine. Expérience en milieu hospitalier et en cabinet libéral. Engagée dans l'amélioration des parcours de soins grâce aux outils digitaux et à l'intelligence artificielle médicale.</w:t>
      </w:r>
    </w:p>
    <w:p>
      <w:pPr>
        <w:pBdr>
          <w:bottom w:val="single" w:color="148F77" w:sz="6"/>
        </w:pBdr>
        <w:spacing w:after="40" w:before="200"/>
      </w:pPr>
      <w:r>
        <w:rPr>
          <w:b/>
          <w:bCs/>
          <w:color w:val="148F77"/>
          <w:sz w:val="22"/>
          <w:szCs w:val="22"/>
        </w:rPr>
        <w:t xml:space="preserve">EXPÉRIENCES PROFESSIONNELLES</w:t>
      </w:r>
    </w:p>
    <w:p>
      <w:pPr>
        <w:spacing w:after="40" w:before="140"/>
      </w:pPr>
      <w:r>
        <w:rPr>
          <w:b/>
          <w:bCs/>
          <w:sz w:val="22"/>
          <w:szCs w:val="22"/>
        </w:rPr>
        <w:t xml:space="preserve">Médecin Généraliste</w:t>
      </w:r>
      <w:r>
        <w:rPr>
          <w:color w:val="2C3E50"/>
          <w:sz w:val="22"/>
          <w:szCs w:val="22"/>
        </w:rPr>
        <w:t xml:space="preserve">  –  Clinique Les Orangers</w:t>
      </w:r>
      <w:r>
        <w:rPr>
          <w:color w:val="888888"/>
          <w:sz w:val="18"/>
          <w:szCs w:val="18"/>
        </w:rPr>
        <w:t xml:space="preserve">  |  2021 – présent  |  Tunis</w:t>
      </w:r>
    </w:p>
    <w:p>
      <w:pPr>
        <w:pStyle w:val="ListParagraph"/>
        <w:numPr>
          <w:ilvl w:val="0"/>
          <w:numId w:val="2"/>
        </w:numPr>
        <w:spacing w:after="40"/>
      </w:pPr>
      <w:r>
        <w:rPr>
          <w:sz w:val="20"/>
          <w:szCs w:val="20"/>
        </w:rPr>
        <w:t xml:space="preserve">Consultations de médecine générale (60+ patients/semaine)</w:t>
      </w:r>
    </w:p>
    <w:p>
      <w:pPr>
        <w:pStyle w:val="ListParagraph"/>
        <w:numPr>
          <w:ilvl w:val="0"/>
          <w:numId w:val="2"/>
        </w:numPr>
        <w:spacing w:after="40"/>
      </w:pPr>
      <w:r>
        <w:rPr>
          <w:sz w:val="20"/>
          <w:szCs w:val="20"/>
        </w:rPr>
        <w:t xml:space="preserve">Prise en charge des urgences de premier recours et orientation spécialisée</w:t>
      </w:r>
    </w:p>
    <w:p>
      <w:pPr>
        <w:pStyle w:val="ListParagraph"/>
        <w:numPr>
          <w:ilvl w:val="0"/>
          <w:numId w:val="2"/>
        </w:numPr>
        <w:spacing w:after="40"/>
      </w:pPr>
      <w:r>
        <w:rPr>
          <w:sz w:val="20"/>
          <w:szCs w:val="20"/>
        </w:rPr>
        <w:t xml:space="preserve">Suivi des patients chroniques (diabète, HTA, asthme) et éducation thérapeutique</w:t>
      </w:r>
    </w:p>
    <w:p>
      <w:pPr>
        <w:pStyle w:val="ListParagraph"/>
        <w:numPr>
          <w:ilvl w:val="0"/>
          <w:numId w:val="2"/>
        </w:numPr>
        <w:spacing w:after="40"/>
      </w:pPr>
      <w:r>
        <w:rPr>
          <w:sz w:val="20"/>
          <w:szCs w:val="20"/>
        </w:rPr>
        <w:t xml:space="preserve">Participation au comité digital santé pour l'intégration du DPI (Dossier Patient Informatisé)</w:t>
      </w:r>
    </w:p>
    <w:p>
      <w:pPr>
        <w:spacing w:after="40" w:before="140"/>
      </w:pPr>
      <w:r>
        <w:rPr>
          <w:b/>
          <w:bCs/>
          <w:sz w:val="22"/>
          <w:szCs w:val="22"/>
        </w:rPr>
        <w:t xml:space="preserve">Interne des Hôpitaux</w:t>
      </w:r>
      <w:r>
        <w:rPr>
          <w:color w:val="2C3E50"/>
          <w:sz w:val="22"/>
          <w:szCs w:val="22"/>
        </w:rPr>
        <w:t xml:space="preserve">  –  CHU Habib Bourguiba, Sfax</w:t>
      </w:r>
      <w:r>
        <w:rPr>
          <w:color w:val="888888"/>
          <w:sz w:val="18"/>
          <w:szCs w:val="18"/>
        </w:rPr>
        <w:t xml:space="preserve">  |  2019 – 2021</w:t>
      </w:r>
    </w:p>
    <w:p>
      <w:pPr>
        <w:pStyle w:val="ListParagraph"/>
        <w:numPr>
          <w:ilvl w:val="0"/>
          <w:numId w:val="2"/>
        </w:numPr>
        <w:spacing w:after="40"/>
      </w:pPr>
      <w:r>
        <w:rPr>
          <w:sz w:val="20"/>
          <w:szCs w:val="20"/>
        </w:rPr>
        <w:t xml:space="preserve">Rotations en médecine interne, urgences, pédiatrie, gynécologie et cardiologie</w:t>
      </w:r>
    </w:p>
    <w:p>
      <w:pPr>
        <w:pStyle w:val="ListParagraph"/>
        <w:numPr>
          <w:ilvl w:val="0"/>
          <w:numId w:val="2"/>
        </w:numPr>
        <w:spacing w:after="40"/>
      </w:pPr>
      <w:r>
        <w:rPr>
          <w:sz w:val="20"/>
          <w:szCs w:val="20"/>
        </w:rPr>
        <w:t xml:space="preserve">Participation à des études cliniques sur le diabète de type 2 en Tunisie</w:t>
      </w:r>
    </w:p>
    <w:p>
      <w:pPr>
        <w:pBdr>
          <w:bottom w:val="single" w:color="148F77" w:sz="6"/>
        </w:pBdr>
        <w:spacing w:after="40" w:before="200"/>
      </w:pPr>
      <w:r>
        <w:rPr>
          <w:b/>
          <w:bCs/>
          <w:color w:val="148F77"/>
          <w:sz w:val="22"/>
          <w:szCs w:val="22"/>
        </w:rPr>
        <w:t xml:space="preserve">FORMATION</w:t>
      </w:r>
    </w:p>
    <w:p>
      <w:pPr>
        <w:spacing w:after="20" w:before="100"/>
      </w:pPr>
      <w:r>
        <w:rPr>
          <w:b/>
          <w:bCs/>
          <w:sz w:val="22"/>
          <w:szCs w:val="22"/>
        </w:rPr>
        <w:t xml:space="preserve">Doctorat en Médecine (MD)</w:t>
      </w:r>
      <w:r>
        <w:rPr>
          <w:color w:val="888888"/>
          <w:sz w:val="18"/>
          <w:szCs w:val="18"/>
        </w:rPr>
        <w:t xml:space="preserve">  |  2013 – 2019</w:t>
      </w:r>
    </w:p>
    <w:p>
      <w:pPr>
        <w:spacing w:after="40"/>
      </w:pPr>
      <w:r>
        <w:rPr>
          <w:i/>
          <w:iCs/>
          <w:color w:val="555555"/>
          <w:sz w:val="20"/>
          <w:szCs w:val="20"/>
        </w:rPr>
        <w:t xml:space="preserve">Faculté de Médecine de Sfax</w:t>
      </w:r>
    </w:p>
    <w:p>
      <w:pPr>
        <w:spacing w:after="20" w:before="100"/>
      </w:pPr>
      <w:r>
        <w:rPr>
          <w:b/>
          <w:bCs/>
          <w:sz w:val="22"/>
          <w:szCs w:val="22"/>
        </w:rPr>
        <w:t xml:space="preserve">Baccalauréat Sciences Expérimentales (Mention Très Bien)</w:t>
      </w:r>
      <w:r>
        <w:rPr>
          <w:color w:val="888888"/>
          <w:sz w:val="18"/>
          <w:szCs w:val="18"/>
        </w:rPr>
        <w:t xml:space="preserve">  |  2012 – 2013</w:t>
      </w:r>
    </w:p>
    <w:p>
      <w:pPr>
        <w:spacing w:after="40"/>
      </w:pPr>
      <w:r>
        <w:rPr>
          <w:i/>
          <w:iCs/>
          <w:color w:val="555555"/>
          <w:sz w:val="20"/>
          <w:szCs w:val="20"/>
        </w:rPr>
        <w:t xml:space="preserve">Lycée Tahar Sfar, Sfax</w:t>
      </w:r>
    </w:p>
    <w:p>
      <w:pPr>
        <w:pBdr>
          <w:bottom w:val="single" w:color="148F77" w:sz="6"/>
        </w:pBdr>
        <w:spacing w:after="40" w:before="200"/>
      </w:pPr>
      <w:r>
        <w:rPr>
          <w:b/>
          <w:bCs/>
          <w:color w:val="148F77"/>
          <w:sz w:val="22"/>
          <w:szCs w:val="22"/>
        </w:rPr>
        <w:t xml:space="preserve">COMPÉTENCES</w:t>
      </w:r>
    </w:p>
    <w:p>
      <w:pPr>
        <w:spacing w:after="40"/>
      </w:pPr>
      <w:r>
        <w:rPr>
          <w:b/>
          <w:bCs/>
          <w:sz w:val="20"/>
          <w:szCs w:val="20"/>
        </w:rPr>
        <w:t xml:space="preserve">Clinique : </w:t>
      </w:r>
      <w:r>
        <w:rPr>
          <w:sz w:val="20"/>
          <w:szCs w:val="20"/>
        </w:rPr>
        <w:t xml:space="preserve">Médecine générale, urgences, soins primaires, maladies chroniques</w:t>
      </w:r>
    </w:p>
    <w:p>
      <w:pPr>
        <w:spacing w:after="40"/>
      </w:pPr>
      <w:r>
        <w:rPr>
          <w:b/>
          <w:bCs/>
          <w:sz w:val="20"/>
          <w:szCs w:val="20"/>
        </w:rPr>
        <w:t xml:space="preserve">Numérique : </w:t>
      </w:r>
      <w:r>
        <w:rPr>
          <w:sz w:val="20"/>
          <w:szCs w:val="20"/>
        </w:rPr>
        <w:t xml:space="preserve">Télémédecine, DPI (logiciels Meditech, Doctolib), HL7 FHIR (notions)</w:t>
      </w:r>
    </w:p>
    <w:p>
      <w:pPr>
        <w:spacing w:after="40"/>
      </w:pPr>
      <w:r>
        <w:rPr>
          <w:b/>
          <w:bCs/>
          <w:sz w:val="20"/>
          <w:szCs w:val="20"/>
        </w:rPr>
        <w:t xml:space="preserve">Recherche : </w:t>
      </w:r>
      <w:r>
        <w:rPr>
          <w:sz w:val="20"/>
          <w:szCs w:val="20"/>
        </w:rPr>
        <w:t xml:space="preserve">Lecture critique, rédaction scientifique, biostatistiques (SPSS)</w:t>
      </w:r>
    </w:p>
    <w:p>
      <w:pPr>
        <w:spacing w:after="40"/>
      </w:pPr>
      <w:r>
        <w:rPr>
          <w:b/>
          <w:bCs/>
          <w:sz w:val="20"/>
          <w:szCs w:val="20"/>
        </w:rPr>
        <w:t xml:space="preserve">Soft skills : </w:t>
      </w:r>
      <w:r>
        <w:rPr>
          <w:sz w:val="20"/>
          <w:szCs w:val="20"/>
        </w:rPr>
        <w:t xml:space="preserve">Communication patient, empathie, travail en équipe pluridisciplinaire</w:t>
      </w:r>
    </w:p>
    <w:p>
      <w:pPr>
        <w:pBdr>
          <w:bottom w:val="single" w:color="148F77" w:sz="6"/>
        </w:pBdr>
        <w:spacing w:after="40" w:before="200"/>
      </w:pPr>
      <w:r>
        <w:rPr>
          <w:b/>
          <w:bCs/>
          <w:color w:val="148F77"/>
          <w:sz w:val="22"/>
          <w:szCs w:val="22"/>
        </w:rPr>
        <w:t xml:space="preserve">LANGUES</w:t>
      </w:r>
    </w:p>
    <w:p>
      <w:pPr>
        <w:spacing w:after="40"/>
      </w:pPr>
      <w:r>
        <w:rPr>
          <w:sz w:val="20"/>
          <w:szCs w:val="20"/>
        </w:rPr>
        <w:t xml:space="preserve">Arabe (natif), Français (courant), Anglais (professionnel – lectures scientifiques)</w:t>
      </w:r>
    </w:p>
    <w:p>
      <w:pPr>
        <w:pBdr>
          <w:bottom w:val="single" w:color="148F77" w:sz="6"/>
        </w:pBdr>
        <w:spacing w:after="40" w:before="200"/>
      </w:pPr>
      <w:r>
        <w:rPr>
          <w:b/>
          <w:bCs/>
          <w:color w:val="148F77"/>
          <w:sz w:val="22"/>
          <w:szCs w:val="22"/>
        </w:rPr>
        <w:t xml:space="preserve">INFORMATIONS COMPLÉMENTAIRES</w:t>
      </w:r>
    </w:p>
    <w:p>
      <w:pPr>
        <w:pStyle w:val="ListParagraph"/>
        <w:numPr>
          <w:ilvl w:val="0"/>
          <w:numId w:val="2"/>
        </w:numPr>
        <w:spacing w:after="40"/>
      </w:pPr>
      <w:r>
        <w:rPr>
          <w:sz w:val="20"/>
          <w:szCs w:val="20"/>
        </w:rPr>
        <w:t xml:space="preserve">Inscrite au Conseil National de l'Ordre des Médecins de Tunisie</w:t>
      </w:r>
    </w:p>
    <w:p>
      <w:pPr>
        <w:pStyle w:val="ListParagraph"/>
        <w:numPr>
          <w:ilvl w:val="0"/>
          <w:numId w:val="2"/>
        </w:numPr>
        <w:spacing w:after="40"/>
      </w:pPr>
      <w:r>
        <w:rPr>
          <w:sz w:val="20"/>
          <w:szCs w:val="20"/>
        </w:rPr>
        <w:t xml:space="preserve">Formation en e-Santé et Télémédecine – WHO Academy (2022)</w:t>
      </w:r>
    </w:p>
    <w:p>
      <w:pPr>
        <w:pStyle w:val="ListParagraph"/>
        <w:numPr>
          <w:ilvl w:val="0"/>
          <w:numId w:val="2"/>
        </w:numPr>
        <w:spacing w:after="40"/>
      </w:pPr>
      <w:r>
        <w:rPr>
          <w:sz w:val="20"/>
          <w:szCs w:val="20"/>
        </w:rPr>
        <w:t xml:space="preserve">Bénévole Médecins Sans Frontières – mission Libye (2020)</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2026-04-20T08:56:35.869Z</dcterms:created>
  <dcterms:modified xsi:type="dcterms:W3CDTF">2026-04-20T08:56:35.869Z</dcterms:modified>
</cp:coreProperties>
</file>

<file path=docProps/custom.xml><?xml version="1.0" encoding="utf-8"?>
<Properties xmlns="http://schemas.openxmlformats.org/officeDocument/2006/custom-properties" xmlns:vt="http://schemas.openxmlformats.org/officeDocument/2006/docPropsVTypes"/>
</file>