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Youssef Trabelsi</w:t>
      </w:r>
    </w:p>
    <w:p>
      <w:pPr>
        <w:spacing w:after="40"/>
        <w:jc w:val="center"/>
      </w:pPr>
      <w:r>
        <w:rPr>
          <w:i/>
          <w:iCs/>
          <w:sz w:val="24"/>
          <w:szCs w:val="24"/>
        </w:rPr>
        <w:t xml:space="preserve">Responsable Ressources Humaines</w:t>
      </w:r>
    </w:p>
    <w:p>
      <w:pPr>
        <w:spacing w:after="20"/>
        <w:jc w:val="center"/>
      </w:pPr>
      <w:r>
        <w:rPr>
          <w:color w:val="444444"/>
          <w:sz w:val="18"/>
          <w:szCs w:val="18"/>
        </w:rPr>
        <w:t xml:space="preserve">y.trabelsi@email.com  •  +216 71 234 567  •  LinkedIn  •  Sfax, Tunisie</w:t>
      </w:r>
    </w:p>
    <w:p>
      <w:pPr>
        <w:spacing w:after="60"/>
      </w:pPr>
    </w:p>
    <w:p>
      <w:pPr>
        <w:pBdr>
          <w:bottom w:val="single" w:color="1A5276" w:sz="6"/>
        </w:pBdr>
        <w:spacing w:after="40" w:before="200"/>
      </w:pPr>
      <w:r>
        <w:rPr>
          <w:b/>
          <w:bCs/>
          <w:color w:val="1A5276"/>
          <w:sz w:val="22"/>
          <w:szCs w:val="22"/>
        </w:rPr>
        <w:t xml:space="preserve">RÉSUMÉ</w:t>
      </w:r>
    </w:p>
    <w:p>
      <w:pPr>
        <w:spacing w:after="40"/>
      </w:pPr>
      <w:r>
        <w:rPr>
          <w:sz w:val="20"/>
          <w:szCs w:val="20"/>
        </w:rPr>
        <w:t xml:space="preserve">Professionnel RH avec 6 ans d'expérience dans le recrutement, la gestion des talents et le développement organisationnel. Expert en droit du travail tunisien et en transformation digitale des fonctions RH. Orienté résultats et développement humain.</w:t>
      </w:r>
    </w:p>
    <w:p>
      <w:pPr>
        <w:pBdr>
          <w:bottom w:val="single" w:color="1A5276" w:sz="6"/>
        </w:pBdr>
        <w:spacing w:after="40" w:before="200"/>
      </w:pPr>
      <w:r>
        <w:rPr>
          <w:b/>
          <w:bCs/>
          <w:color w:val="1A5276"/>
          <w:sz w:val="22"/>
          <w:szCs w:val="22"/>
        </w:rPr>
        <w:t xml:space="preserve">EXPÉRIENCES PROFESSIONNELLES</w:t>
      </w:r>
    </w:p>
    <w:p>
      <w:pPr>
        <w:spacing w:after="40" w:before="140"/>
      </w:pPr>
      <w:r>
        <w:rPr>
          <w:b/>
          <w:bCs/>
          <w:sz w:val="22"/>
          <w:szCs w:val="22"/>
        </w:rPr>
        <w:t xml:space="preserve">Responsable RH</w:t>
      </w:r>
      <w:r>
        <w:rPr>
          <w:color w:val="2C3E50"/>
          <w:sz w:val="22"/>
          <w:szCs w:val="22"/>
        </w:rPr>
        <w:t xml:space="preserve">  –  Groupe Industriel Medafric</w:t>
      </w:r>
      <w:r>
        <w:rPr>
          <w:color w:val="888888"/>
          <w:sz w:val="18"/>
          <w:szCs w:val="18"/>
        </w:rPr>
        <w:t xml:space="preserve">  |  2021 – présent  |  Sfax</w:t>
      </w:r>
    </w:p>
    <w:p>
      <w:pPr>
        <w:pStyle w:val="ListParagraph"/>
        <w:numPr>
          <w:ilvl w:val="0"/>
          <w:numId w:val="2"/>
        </w:numPr>
        <w:spacing w:after="40"/>
      </w:pPr>
      <w:r>
        <w:rPr>
          <w:sz w:val="20"/>
          <w:szCs w:val="20"/>
        </w:rPr>
        <w:t xml:space="preserve">Pilotage du processus de recrutement pour 300+ postes/an (cadres et opérateurs)</w:t>
      </w:r>
    </w:p>
    <w:p>
      <w:pPr>
        <w:pStyle w:val="ListParagraph"/>
        <w:numPr>
          <w:ilvl w:val="0"/>
          <w:numId w:val="2"/>
        </w:numPr>
        <w:spacing w:after="40"/>
      </w:pPr>
      <w:r>
        <w:rPr>
          <w:sz w:val="20"/>
          <w:szCs w:val="20"/>
        </w:rPr>
        <w:t xml:space="preserve">Mise en place du SIRH (Sage HR) et digitalisation des processus RH</w:t>
      </w:r>
    </w:p>
    <w:p>
      <w:pPr>
        <w:pStyle w:val="ListParagraph"/>
        <w:numPr>
          <w:ilvl w:val="0"/>
          <w:numId w:val="2"/>
        </w:numPr>
        <w:spacing w:after="40"/>
      </w:pPr>
      <w:r>
        <w:rPr>
          <w:sz w:val="20"/>
          <w:szCs w:val="20"/>
        </w:rPr>
        <w:t xml:space="preserve">Élaboration du plan de formation annuel et suivi du budget formation (150 k€)</w:t>
      </w:r>
    </w:p>
    <w:p>
      <w:pPr>
        <w:pStyle w:val="ListParagraph"/>
        <w:numPr>
          <w:ilvl w:val="0"/>
          <w:numId w:val="2"/>
        </w:numPr>
        <w:spacing w:after="40"/>
      </w:pPr>
      <w:r>
        <w:rPr>
          <w:sz w:val="20"/>
          <w:szCs w:val="20"/>
        </w:rPr>
        <w:t xml:space="preserve">Gestion des relations sociales et dialogue avec les représentants du personnel</w:t>
      </w:r>
    </w:p>
    <w:p>
      <w:pPr>
        <w:pStyle w:val="ListParagraph"/>
        <w:numPr>
          <w:ilvl w:val="0"/>
          <w:numId w:val="2"/>
        </w:numPr>
        <w:spacing w:after="40"/>
      </w:pPr>
      <w:r>
        <w:rPr>
          <w:sz w:val="20"/>
          <w:szCs w:val="20"/>
        </w:rPr>
        <w:t xml:space="preserve">Administration de la paie (650 salariés) et veille réglementaire</w:t>
      </w:r>
    </w:p>
    <w:p>
      <w:pPr>
        <w:spacing w:after="40" w:before="140"/>
      </w:pPr>
      <w:r>
        <w:rPr>
          <w:b/>
          <w:bCs/>
          <w:sz w:val="22"/>
          <w:szCs w:val="22"/>
        </w:rPr>
        <w:t xml:space="preserve">Chargé de Recrutement</w:t>
      </w:r>
      <w:r>
        <w:rPr>
          <w:color w:val="2C3E50"/>
          <w:sz w:val="22"/>
          <w:szCs w:val="22"/>
        </w:rPr>
        <w:t xml:space="preserve">  –  Cabinet HR Partners</w:t>
      </w:r>
      <w:r>
        <w:rPr>
          <w:color w:val="888888"/>
          <w:sz w:val="18"/>
          <w:szCs w:val="18"/>
        </w:rPr>
        <w:t xml:space="preserve">  |  2018 – 2021</w:t>
      </w:r>
    </w:p>
    <w:p>
      <w:pPr>
        <w:pStyle w:val="ListParagraph"/>
        <w:numPr>
          <w:ilvl w:val="0"/>
          <w:numId w:val="2"/>
        </w:numPr>
        <w:spacing w:after="40"/>
      </w:pPr>
      <w:r>
        <w:rPr>
          <w:sz w:val="20"/>
          <w:szCs w:val="20"/>
        </w:rPr>
        <w:t xml:space="preserve">Sourcing et présélection de profils pour des clients multi-secteurs</w:t>
      </w:r>
    </w:p>
    <w:p>
      <w:pPr>
        <w:pStyle w:val="ListParagraph"/>
        <w:numPr>
          <w:ilvl w:val="0"/>
          <w:numId w:val="2"/>
        </w:numPr>
        <w:spacing w:after="40"/>
      </w:pPr>
      <w:r>
        <w:rPr>
          <w:sz w:val="20"/>
          <w:szCs w:val="20"/>
        </w:rPr>
        <w:t xml:space="preserve">Conduite d'entretiens structurés et assessment centers</w:t>
      </w:r>
    </w:p>
    <w:p>
      <w:pPr>
        <w:pStyle w:val="ListParagraph"/>
        <w:numPr>
          <w:ilvl w:val="0"/>
          <w:numId w:val="2"/>
        </w:numPr>
        <w:spacing w:after="40"/>
      </w:pPr>
      <w:r>
        <w:rPr>
          <w:sz w:val="20"/>
          <w:szCs w:val="20"/>
        </w:rPr>
        <w:t xml:space="preserve">Rédaction de rapports d'évaluation et recommandations clients</w:t>
      </w:r>
    </w:p>
    <w:p>
      <w:pPr>
        <w:pBdr>
          <w:bottom w:val="single" w:color="1A5276" w:sz="6"/>
        </w:pBdr>
        <w:spacing w:after="40" w:before="200"/>
      </w:pPr>
      <w:r>
        <w:rPr>
          <w:b/>
          <w:bCs/>
          <w:color w:val="1A5276"/>
          <w:sz w:val="22"/>
          <w:szCs w:val="22"/>
        </w:rPr>
        <w:t xml:space="preserve">FORMATION</w:t>
      </w:r>
    </w:p>
    <w:p>
      <w:pPr>
        <w:spacing w:after="20" w:before="100"/>
      </w:pPr>
      <w:r>
        <w:rPr>
          <w:b/>
          <w:bCs/>
          <w:sz w:val="22"/>
          <w:szCs w:val="22"/>
        </w:rPr>
        <w:t xml:space="preserve">Master Management des Ressources Humaines</w:t>
      </w:r>
      <w:r>
        <w:rPr>
          <w:color w:val="888888"/>
          <w:sz w:val="18"/>
          <w:szCs w:val="18"/>
        </w:rPr>
        <w:t xml:space="preserve">  |  2016 – 2018</w:t>
      </w:r>
    </w:p>
    <w:p>
      <w:pPr>
        <w:spacing w:after="40"/>
      </w:pPr>
      <w:r>
        <w:rPr>
          <w:i/>
          <w:iCs/>
          <w:color w:val="555555"/>
          <w:sz w:val="20"/>
          <w:szCs w:val="20"/>
        </w:rPr>
        <w:t xml:space="preserve">ISG Tunis</w:t>
      </w:r>
    </w:p>
    <w:p>
      <w:pPr>
        <w:spacing w:after="20" w:before="100"/>
      </w:pPr>
      <w:r>
        <w:rPr>
          <w:b/>
          <w:bCs/>
          <w:sz w:val="22"/>
          <w:szCs w:val="22"/>
        </w:rPr>
        <w:t xml:space="preserve">Licence en Gestion des Entreprises</w:t>
      </w:r>
      <w:r>
        <w:rPr>
          <w:color w:val="888888"/>
          <w:sz w:val="18"/>
          <w:szCs w:val="18"/>
        </w:rPr>
        <w:t xml:space="preserve">  |  2013 – 2016</w:t>
      </w:r>
    </w:p>
    <w:p>
      <w:pPr>
        <w:spacing w:after="40"/>
      </w:pPr>
      <w:r>
        <w:rPr>
          <w:i/>
          <w:iCs/>
          <w:color w:val="555555"/>
          <w:sz w:val="20"/>
          <w:szCs w:val="20"/>
        </w:rPr>
        <w:t xml:space="preserve">Faculté des Sciences Économiques de Sfax</w:t>
      </w:r>
    </w:p>
    <w:p>
      <w:pPr>
        <w:pBdr>
          <w:bottom w:val="single" w:color="1A5276" w:sz="6"/>
        </w:pBdr>
        <w:spacing w:after="40" w:before="200"/>
      </w:pPr>
      <w:r>
        <w:rPr>
          <w:b/>
          <w:bCs/>
          <w:color w:val="1A5276"/>
          <w:sz w:val="22"/>
          <w:szCs w:val="22"/>
        </w:rPr>
        <w:t xml:space="preserve">COMPÉTENCES</w:t>
      </w:r>
    </w:p>
    <w:p>
      <w:pPr>
        <w:spacing w:after="40"/>
      </w:pPr>
      <w:r>
        <w:rPr>
          <w:b/>
          <w:bCs/>
          <w:sz w:val="20"/>
          <w:szCs w:val="20"/>
        </w:rPr>
        <w:t xml:space="preserve">Recrutement : </w:t>
      </w:r>
      <w:r>
        <w:rPr>
          <w:sz w:val="20"/>
          <w:szCs w:val="20"/>
        </w:rPr>
        <w:t xml:space="preserve">Sourcing, Entretiens, Assessment Centers, ATS (Workable, Taleo)</w:t>
      </w:r>
    </w:p>
    <w:p>
      <w:pPr>
        <w:spacing w:after="40"/>
      </w:pPr>
      <w:r>
        <w:rPr>
          <w:b/>
          <w:bCs/>
          <w:sz w:val="20"/>
          <w:szCs w:val="20"/>
        </w:rPr>
        <w:t xml:space="preserve">SIRH : </w:t>
      </w:r>
      <w:r>
        <w:rPr>
          <w:sz w:val="20"/>
          <w:szCs w:val="20"/>
        </w:rPr>
        <w:t xml:space="preserve">Sage HR, SAP HR, Microsoft Dynamics</w:t>
      </w:r>
    </w:p>
    <w:p>
      <w:pPr>
        <w:spacing w:after="40"/>
      </w:pPr>
      <w:r>
        <w:rPr>
          <w:b/>
          <w:bCs/>
          <w:sz w:val="20"/>
          <w:szCs w:val="20"/>
        </w:rPr>
        <w:t xml:space="preserve">Droit Social : </w:t>
      </w:r>
      <w:r>
        <w:rPr>
          <w:sz w:val="20"/>
          <w:szCs w:val="20"/>
        </w:rPr>
        <w:t xml:space="preserve">Code du travail tunisien, Contrats, Gestion des conflits</w:t>
      </w:r>
    </w:p>
    <w:p>
      <w:pPr>
        <w:spacing w:after="40"/>
      </w:pPr>
      <w:r>
        <w:rPr>
          <w:b/>
          <w:bCs/>
          <w:sz w:val="20"/>
          <w:szCs w:val="20"/>
        </w:rPr>
        <w:t xml:space="preserve">Formation : </w:t>
      </w:r>
      <w:r>
        <w:rPr>
          <w:sz w:val="20"/>
          <w:szCs w:val="20"/>
        </w:rPr>
        <w:t xml:space="preserve">Ingénierie pédagogique, GPEC, Plan de développement des compétences</w:t>
      </w:r>
    </w:p>
    <w:p>
      <w:pPr>
        <w:pBdr>
          <w:bottom w:val="single" w:color="1A5276" w:sz="6"/>
        </w:pBdr>
        <w:spacing w:after="40" w:before="200"/>
      </w:pPr>
      <w:r>
        <w:rPr>
          <w:b/>
          <w:bCs/>
          <w:color w:val="1A5276"/>
          <w:sz w:val="22"/>
          <w:szCs w:val="22"/>
        </w:rPr>
        <w:t xml:space="preserve">LANGUES</w:t>
      </w:r>
    </w:p>
    <w:p>
      <w:pPr>
        <w:spacing w:after="40"/>
      </w:pPr>
      <w:r>
        <w:rPr>
          <w:sz w:val="20"/>
          <w:szCs w:val="20"/>
        </w:rPr>
        <w:t xml:space="preserve">Arabe (natif), Français (courant), Anglais (intermédiaire)</w:t>
      </w:r>
    </w:p>
    <w:p>
      <w:pPr>
        <w:pBdr>
          <w:bottom w:val="single" w:color="1A5276" w:sz="6"/>
        </w:pBdr>
        <w:spacing w:after="40" w:before="200"/>
      </w:pPr>
      <w:r>
        <w:rPr>
          <w:b/>
          <w:bCs/>
          <w:color w:val="1A5276"/>
          <w:sz w:val="22"/>
          <w:szCs w:val="22"/>
        </w:rPr>
        <w:t xml:space="preserve">INFORMATIONS COMPLÉMENTAIRES</w:t>
      </w:r>
    </w:p>
    <w:p>
      <w:pPr>
        <w:pStyle w:val="ListParagraph"/>
        <w:numPr>
          <w:ilvl w:val="0"/>
          <w:numId w:val="2"/>
        </w:numPr>
        <w:spacing w:after="40"/>
      </w:pPr>
      <w:r>
        <w:rPr>
          <w:sz w:val="20"/>
          <w:szCs w:val="20"/>
        </w:rPr>
        <w:t xml:space="preserve">Certifié SHRM-CP (Society for Human Resource Management)</w:t>
      </w:r>
    </w:p>
    <w:p>
      <w:pPr>
        <w:pStyle w:val="ListParagraph"/>
        <w:numPr>
          <w:ilvl w:val="0"/>
          <w:numId w:val="2"/>
        </w:numPr>
        <w:spacing w:after="40"/>
      </w:pPr>
      <w:r>
        <w:rPr>
          <w:sz w:val="20"/>
          <w:szCs w:val="20"/>
        </w:rPr>
        <w:t xml:space="preserve">Membre de l'ATRH (Association Tunisienne des Ressources Humaines)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2026-04-20T08:56:35.683Z</dcterms:created>
  <dcterms:modified xsi:type="dcterms:W3CDTF">2026-04-20T08:56:35.683Z</dcterms:modified>
</cp:coreProperties>
</file>

<file path=docProps/custom.xml><?xml version="1.0" encoding="utf-8"?>
<Properties xmlns="http://schemas.openxmlformats.org/officeDocument/2006/custom-properties" xmlns:vt="http://schemas.openxmlformats.org/officeDocument/2006/docPropsVTypes"/>
</file>