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Sarra Gharbi</w:t>
      </w:r>
    </w:p>
    <w:p>
      <w:pPr>
        <w:spacing w:after="40"/>
        <w:jc w:val="center"/>
      </w:pPr>
      <w:r>
        <w:rPr>
          <w:i/>
          <w:iCs/>
          <w:sz w:val="24"/>
          <w:szCs w:val="24"/>
        </w:rPr>
        <w:t xml:space="preserve">Comptable &amp; Contrôleur de Gestion</w:t>
      </w:r>
    </w:p>
    <w:p>
      <w:pPr>
        <w:spacing w:after="20"/>
        <w:jc w:val="center"/>
      </w:pPr>
      <w:r>
        <w:rPr>
          <w:color w:val="444444"/>
          <w:sz w:val="18"/>
          <w:szCs w:val="18"/>
        </w:rPr>
        <w:t xml:space="preserve">s.gharbi@email.com  •  +216 73 567 890  •  LinkedIn  •  Monastir, Tunisie</w:t>
      </w:r>
    </w:p>
    <w:p>
      <w:pPr>
        <w:spacing w:after="60"/>
      </w:pPr>
    </w:p>
    <w:p>
      <w:pPr>
        <w:pBdr>
          <w:bottom w:val="single" w:color="7D6608" w:sz="6"/>
        </w:pBdr>
        <w:spacing w:after="40" w:before="200"/>
      </w:pPr>
      <w:r>
        <w:rPr>
          <w:b/>
          <w:bCs/>
          <w:color w:val="7D6608"/>
          <w:sz w:val="22"/>
          <w:szCs w:val="22"/>
        </w:rPr>
        <w:t xml:space="preserve">RÉSUMÉ</w:t>
      </w:r>
    </w:p>
    <w:p>
      <w:pPr>
        <w:spacing w:after="40"/>
      </w:pPr>
      <w:r>
        <w:rPr>
          <w:sz w:val="20"/>
          <w:szCs w:val="20"/>
        </w:rPr>
        <w:t xml:space="preserve">Comptable diplômée avec 7 ans d'expérience en comptabilité générale, analytique et contrôle de gestion dans les secteurs industrie et services. Rigueur, maîtrise des normes IFRS et des outils ERP. Habituée des clôtures mensuelles et des reportings à la direction.</w:t>
      </w:r>
    </w:p>
    <w:p>
      <w:pPr>
        <w:pBdr>
          <w:bottom w:val="single" w:color="7D6608" w:sz="6"/>
        </w:pBdr>
        <w:spacing w:after="40" w:before="200"/>
      </w:pPr>
      <w:r>
        <w:rPr>
          <w:b/>
          <w:bCs/>
          <w:color w:val="7D6608"/>
          <w:sz w:val="22"/>
          <w:szCs w:val="22"/>
        </w:rPr>
        <w:t xml:space="preserve">EXPÉRIENCES PROFESSIONNELLES</w:t>
      </w:r>
    </w:p>
    <w:p>
      <w:pPr>
        <w:spacing w:after="40" w:before="140"/>
      </w:pPr>
      <w:r>
        <w:rPr>
          <w:b/>
          <w:bCs/>
          <w:sz w:val="22"/>
          <w:szCs w:val="22"/>
        </w:rPr>
        <w:t xml:space="preserve">Contrôleur de Gestion</w:t>
      </w:r>
      <w:r>
        <w:rPr>
          <w:color w:val="2C3E50"/>
          <w:sz w:val="22"/>
          <w:szCs w:val="22"/>
        </w:rPr>
        <w:t xml:space="preserve">  –  Poulina Group Holding</w:t>
      </w:r>
      <w:r>
        <w:rPr>
          <w:color w:val="888888"/>
          <w:sz w:val="18"/>
          <w:szCs w:val="18"/>
        </w:rPr>
        <w:t xml:space="preserve">  |  2020 – présent  |  Monastir</w:t>
      </w:r>
    </w:p>
    <w:p>
      <w:pPr>
        <w:pStyle w:val="ListParagraph"/>
        <w:numPr>
          <w:ilvl w:val="0"/>
          <w:numId w:val="2"/>
        </w:numPr>
        <w:spacing w:after="40"/>
      </w:pPr>
      <w:r>
        <w:rPr>
          <w:sz w:val="20"/>
          <w:szCs w:val="20"/>
        </w:rPr>
        <w:t xml:space="preserve">Production des reportings mensuels P&amp;L, bilan et tableau de bord pour la direction</w:t>
      </w:r>
    </w:p>
    <w:p>
      <w:pPr>
        <w:pStyle w:val="ListParagraph"/>
        <w:numPr>
          <w:ilvl w:val="0"/>
          <w:numId w:val="2"/>
        </w:numPr>
        <w:spacing w:after="40"/>
      </w:pPr>
      <w:r>
        <w:rPr>
          <w:sz w:val="20"/>
          <w:szCs w:val="20"/>
        </w:rPr>
        <w:t xml:space="preserve">Élaboration du budget annuel (15 M€) et suivi des écarts</w:t>
      </w:r>
    </w:p>
    <w:p>
      <w:pPr>
        <w:pStyle w:val="ListParagraph"/>
        <w:numPr>
          <w:ilvl w:val="0"/>
          <w:numId w:val="2"/>
        </w:numPr>
        <w:spacing w:after="40"/>
      </w:pPr>
      <w:r>
        <w:rPr>
          <w:sz w:val="20"/>
          <w:szCs w:val="20"/>
        </w:rPr>
        <w:t xml:space="preserve">Analyse de rentabilité par ligne de produits et centres de coûts</w:t>
      </w:r>
    </w:p>
    <w:p>
      <w:pPr>
        <w:pStyle w:val="ListParagraph"/>
        <w:numPr>
          <w:ilvl w:val="0"/>
          <w:numId w:val="2"/>
        </w:numPr>
        <w:spacing w:after="40"/>
      </w:pPr>
      <w:r>
        <w:rPr>
          <w:sz w:val="20"/>
          <w:szCs w:val="20"/>
        </w:rPr>
        <w:t xml:space="preserve">Optimisation des processus de clôture (réduction de 5 jours à 2 jours)</w:t>
      </w:r>
    </w:p>
    <w:p>
      <w:pPr>
        <w:pStyle w:val="ListParagraph"/>
        <w:numPr>
          <w:ilvl w:val="0"/>
          <w:numId w:val="2"/>
        </w:numPr>
        <w:spacing w:after="40"/>
      </w:pPr>
      <w:r>
        <w:rPr>
          <w:sz w:val="20"/>
          <w:szCs w:val="20"/>
        </w:rPr>
        <w:t xml:space="preserve">Mise en place du contrôle interne et des procédures comptables</w:t>
      </w:r>
    </w:p>
    <w:p>
      <w:pPr>
        <w:spacing w:after="40" w:before="140"/>
      </w:pPr>
      <w:r>
        <w:rPr>
          <w:b/>
          <w:bCs/>
          <w:sz w:val="22"/>
          <w:szCs w:val="22"/>
        </w:rPr>
        <w:t xml:space="preserve">Comptable Général</w:t>
      </w:r>
      <w:r>
        <w:rPr>
          <w:color w:val="2C3E50"/>
          <w:sz w:val="22"/>
          <w:szCs w:val="22"/>
        </w:rPr>
        <w:t xml:space="preserve">  –  Cabinet Expertise Comptable Ben Amor</w:t>
      </w:r>
      <w:r>
        <w:rPr>
          <w:color w:val="888888"/>
          <w:sz w:val="18"/>
          <w:szCs w:val="18"/>
        </w:rPr>
        <w:t xml:space="preserve">  |  2017 – 2020</w:t>
      </w:r>
    </w:p>
    <w:p>
      <w:pPr>
        <w:pStyle w:val="ListParagraph"/>
        <w:numPr>
          <w:ilvl w:val="0"/>
          <w:numId w:val="2"/>
        </w:numPr>
        <w:spacing w:after="40"/>
      </w:pPr>
      <w:r>
        <w:rPr>
          <w:sz w:val="20"/>
          <w:szCs w:val="20"/>
        </w:rPr>
        <w:t xml:space="preserve">Tenue comptable complète pour 30+ dossiers clients (TPE/PME)</w:t>
      </w:r>
    </w:p>
    <w:p>
      <w:pPr>
        <w:pStyle w:val="ListParagraph"/>
        <w:numPr>
          <w:ilvl w:val="0"/>
          <w:numId w:val="2"/>
        </w:numPr>
        <w:spacing w:after="40"/>
      </w:pPr>
      <w:r>
        <w:rPr>
          <w:sz w:val="20"/>
          <w:szCs w:val="20"/>
        </w:rPr>
        <w:t xml:space="preserve">Établissement des déclarations fiscales (TVA, IS, IRPP) et liasses fiscales</w:t>
      </w:r>
    </w:p>
    <w:p>
      <w:pPr>
        <w:pBdr>
          <w:bottom w:val="single" w:color="7D6608" w:sz="6"/>
        </w:pBdr>
        <w:spacing w:after="40" w:before="200"/>
      </w:pPr>
      <w:r>
        <w:rPr>
          <w:b/>
          <w:bCs/>
          <w:color w:val="7D6608"/>
          <w:sz w:val="22"/>
          <w:szCs w:val="22"/>
        </w:rPr>
        <w:t xml:space="preserve">FORMATION</w:t>
      </w:r>
    </w:p>
    <w:p>
      <w:pPr>
        <w:spacing w:after="20" w:before="100"/>
      </w:pPr>
      <w:r>
        <w:rPr>
          <w:b/>
          <w:bCs/>
          <w:sz w:val="22"/>
          <w:szCs w:val="22"/>
        </w:rPr>
        <w:t xml:space="preserve">Mastère Professionnel en Comptabilité, Contrôle, Audit (CCA)</w:t>
      </w:r>
      <w:r>
        <w:rPr>
          <w:color w:val="888888"/>
          <w:sz w:val="18"/>
          <w:szCs w:val="18"/>
        </w:rPr>
        <w:t xml:space="preserve">  |  2015 – 2017</w:t>
      </w:r>
    </w:p>
    <w:p>
      <w:pPr>
        <w:spacing w:after="40"/>
      </w:pPr>
      <w:r>
        <w:rPr>
          <w:i/>
          <w:iCs/>
          <w:color w:val="555555"/>
          <w:sz w:val="20"/>
          <w:szCs w:val="20"/>
        </w:rPr>
        <w:t xml:space="preserve">FSEG Monastir</w:t>
      </w:r>
    </w:p>
    <w:p>
      <w:pPr>
        <w:spacing w:after="20" w:before="100"/>
      </w:pPr>
      <w:r>
        <w:rPr>
          <w:b/>
          <w:bCs/>
          <w:sz w:val="22"/>
          <w:szCs w:val="22"/>
        </w:rPr>
        <w:t xml:space="preserve">Licence en Comptabilité</w:t>
      </w:r>
      <w:r>
        <w:rPr>
          <w:color w:val="888888"/>
          <w:sz w:val="18"/>
          <w:szCs w:val="18"/>
        </w:rPr>
        <w:t xml:space="preserve">  |  2012 – 2015</w:t>
      </w:r>
    </w:p>
    <w:p>
      <w:pPr>
        <w:spacing w:after="40"/>
      </w:pPr>
      <w:r>
        <w:rPr>
          <w:i/>
          <w:iCs/>
          <w:color w:val="555555"/>
          <w:sz w:val="20"/>
          <w:szCs w:val="20"/>
        </w:rPr>
        <w:t xml:space="preserve">Faculté des Sciences Économiques et de Gestion de Mahdia</w:t>
      </w:r>
    </w:p>
    <w:p>
      <w:pPr>
        <w:pBdr>
          <w:bottom w:val="single" w:color="7D6608" w:sz="6"/>
        </w:pBdr>
        <w:spacing w:after="40" w:before="200"/>
      </w:pPr>
      <w:r>
        <w:rPr>
          <w:b/>
          <w:bCs/>
          <w:color w:val="7D6608"/>
          <w:sz w:val="22"/>
          <w:szCs w:val="22"/>
        </w:rPr>
        <w:t xml:space="preserve">COMPÉTENCES</w:t>
      </w:r>
    </w:p>
    <w:p>
      <w:pPr>
        <w:spacing w:after="40"/>
      </w:pPr>
      <w:r>
        <w:rPr>
          <w:b/>
          <w:bCs/>
          <w:sz w:val="20"/>
          <w:szCs w:val="20"/>
        </w:rPr>
        <w:t xml:space="preserve">Comptabilité : </w:t>
      </w:r>
      <w:r>
        <w:rPr>
          <w:sz w:val="20"/>
          <w:szCs w:val="20"/>
        </w:rPr>
        <w:t xml:space="preserve">Comptabilité générale, analytique, consolidation, normes IFRS/SYSCOHADA</w:t>
      </w:r>
    </w:p>
    <w:p>
      <w:pPr>
        <w:spacing w:after="40"/>
      </w:pPr>
      <w:r>
        <w:rPr>
          <w:b/>
          <w:bCs/>
          <w:sz w:val="20"/>
          <w:szCs w:val="20"/>
        </w:rPr>
        <w:t xml:space="preserve">ERP &amp; Outils : </w:t>
      </w:r>
      <w:r>
        <w:rPr>
          <w:sz w:val="20"/>
          <w:szCs w:val="20"/>
        </w:rPr>
        <w:t xml:space="preserve">SAP FI/CO, Sage 100, Ciel Compta, Excel avancé (TCD, Power Query)</w:t>
      </w:r>
    </w:p>
    <w:p>
      <w:pPr>
        <w:spacing w:after="40"/>
      </w:pPr>
      <w:r>
        <w:rPr>
          <w:b/>
          <w:bCs/>
          <w:sz w:val="20"/>
          <w:szCs w:val="20"/>
        </w:rPr>
        <w:t xml:space="preserve">Fiscalité : </w:t>
      </w:r>
      <w:r>
        <w:rPr>
          <w:sz w:val="20"/>
          <w:szCs w:val="20"/>
        </w:rPr>
        <w:t xml:space="preserve">TVA, IS, IRPP, Taxe de formation professionnelle (droit tunisien)</w:t>
      </w:r>
    </w:p>
    <w:p>
      <w:pPr>
        <w:spacing w:after="40"/>
      </w:pPr>
      <w:r>
        <w:rPr>
          <w:b/>
          <w:bCs/>
          <w:sz w:val="20"/>
          <w:szCs w:val="20"/>
        </w:rPr>
        <w:t xml:space="preserve">Reporting : </w:t>
      </w:r>
      <w:r>
        <w:rPr>
          <w:sz w:val="20"/>
          <w:szCs w:val="20"/>
        </w:rPr>
        <w:t xml:space="preserve">Power BI (notions), tableaux de bord, budgétisation</w:t>
      </w:r>
    </w:p>
    <w:p>
      <w:pPr>
        <w:pBdr>
          <w:bottom w:val="single" w:color="7D6608" w:sz="6"/>
        </w:pBdr>
        <w:spacing w:after="40" w:before="200"/>
      </w:pPr>
      <w:r>
        <w:rPr>
          <w:b/>
          <w:bCs/>
          <w:color w:val="7D6608"/>
          <w:sz w:val="22"/>
          <w:szCs w:val="22"/>
        </w:rPr>
        <w:t xml:space="preserve">LANGUES</w:t>
      </w:r>
    </w:p>
    <w:p>
      <w:pPr>
        <w:spacing w:after="40"/>
      </w:pPr>
      <w:r>
        <w:rPr>
          <w:sz w:val="20"/>
          <w:szCs w:val="20"/>
        </w:rPr>
        <w:t xml:space="preserve">Arabe (natif), Français (courant), Anglais (notions)</w:t>
      </w:r>
    </w:p>
    <w:p>
      <w:pPr>
        <w:pBdr>
          <w:bottom w:val="single" w:color="7D6608" w:sz="6"/>
        </w:pBdr>
        <w:spacing w:after="40" w:before="200"/>
      </w:pPr>
      <w:r>
        <w:rPr>
          <w:b/>
          <w:bCs/>
          <w:color w:val="7D6608"/>
          <w:sz w:val="22"/>
          <w:szCs w:val="22"/>
        </w:rPr>
        <w:t xml:space="preserve">INFORMATIONS COMPLÉMENTAIRES</w:t>
      </w:r>
    </w:p>
    <w:p>
      <w:pPr>
        <w:pStyle w:val="ListParagraph"/>
        <w:numPr>
          <w:ilvl w:val="0"/>
          <w:numId w:val="2"/>
        </w:numPr>
        <w:spacing w:after="40"/>
      </w:pPr>
      <w:r>
        <w:rPr>
          <w:sz w:val="20"/>
          <w:szCs w:val="20"/>
        </w:rPr>
        <w:t xml:space="preserve">Expert-Comptable stagiaire – Ordre des Experts Comptables de Tunisie</w:t>
      </w:r>
    </w:p>
    <w:p>
      <w:pPr>
        <w:pStyle w:val="ListParagraph"/>
        <w:numPr>
          <w:ilvl w:val="0"/>
          <w:numId w:val="2"/>
        </w:numPr>
        <w:spacing w:after="40"/>
      </w:pPr>
      <w:r>
        <w:rPr>
          <w:sz w:val="20"/>
          <w:szCs w:val="20"/>
        </w:rPr>
        <w:t xml:space="preserve">Formation en normes IFRS 9 &amp; IFRS 16 (2022)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2026-04-20T08:56:35.844Z</dcterms:created>
  <dcterms:modified xsi:type="dcterms:W3CDTF">2026-04-20T08:56:35.844Z</dcterms:modified>
</cp:coreProperties>
</file>

<file path=docProps/custom.xml><?xml version="1.0" encoding="utf-8"?>
<Properties xmlns="http://schemas.openxmlformats.org/officeDocument/2006/custom-properties" xmlns:vt="http://schemas.openxmlformats.org/officeDocument/2006/docPropsVTypes"/>
</file>