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Tarek Mansouri</w:t>
      </w:r>
    </w:p>
    <w:p>
      <w:pPr>
        <w:spacing w:after="40"/>
        <w:jc w:val="center"/>
      </w:pPr>
      <w:r>
        <w:rPr>
          <w:i/>
          <w:iCs/>
          <w:sz w:val="24"/>
          <w:szCs w:val="24"/>
        </w:rPr>
        <w:t xml:space="preserve">Enseignant-Chercheur en Mathématiques &amp; Intelligence Artificielle</w:t>
      </w:r>
    </w:p>
    <w:p>
      <w:pPr>
        <w:spacing w:after="20"/>
        <w:jc w:val="center"/>
      </w:pPr>
      <w:r>
        <w:rPr>
          <w:color w:val="444444"/>
          <w:sz w:val="18"/>
          <w:szCs w:val="18"/>
        </w:rPr>
        <w:t xml:space="preserve">t.mansouri@email.com  •  +216 71 012 345  •  ResearchGate  •  LinkedIn  •  Sousse, Tunisie</w:t>
      </w:r>
    </w:p>
    <w:p>
      <w:pPr>
        <w:spacing w:after="60"/>
      </w:pPr>
    </w:p>
    <w:p>
      <w:pPr>
        <w:pBdr>
          <w:bottom w:val="single" w:color="2E4057" w:sz="6"/>
        </w:pBdr>
        <w:spacing w:after="40" w:before="200"/>
      </w:pPr>
      <w:r>
        <w:rPr>
          <w:b/>
          <w:bCs/>
          <w:color w:val="2E4057"/>
          <w:sz w:val="22"/>
          <w:szCs w:val="22"/>
        </w:rPr>
        <w:t xml:space="preserve">RÉSUMÉ</w:t>
      </w:r>
    </w:p>
    <w:p>
      <w:pPr>
        <w:spacing w:after="40"/>
      </w:pPr>
      <w:r>
        <w:rPr>
          <w:sz w:val="20"/>
          <w:szCs w:val="20"/>
        </w:rPr>
        <w:t xml:space="preserve">Maître de conférences en mathématiques appliquées et intelligence artificielle. Auteur de 12 publications dans des revues indexées (Scopus, WoS). Expérience en enseignement universitaire, encadrement de thèses et conduite de projets de recherche financés. Passionné par le transfer learning et l'optimisation convexe.</w:t>
      </w:r>
    </w:p>
    <w:p>
      <w:pPr>
        <w:pBdr>
          <w:bottom w:val="single" w:color="2E4057" w:sz="6"/>
        </w:pBdr>
        <w:spacing w:after="40" w:before="200"/>
      </w:pPr>
      <w:r>
        <w:rPr>
          <w:b/>
          <w:bCs/>
          <w:color w:val="2E4057"/>
          <w:sz w:val="22"/>
          <w:szCs w:val="22"/>
        </w:rPr>
        <w:t xml:space="preserve">EXPÉRIENCES PROFESSIONNELLES</w:t>
      </w:r>
    </w:p>
    <w:p>
      <w:pPr>
        <w:spacing w:after="40" w:before="140"/>
      </w:pPr>
      <w:r>
        <w:rPr>
          <w:b/>
          <w:bCs/>
          <w:sz w:val="22"/>
          <w:szCs w:val="22"/>
        </w:rPr>
        <w:t xml:space="preserve">Maître de Conférences en IA &amp; Mathématiques</w:t>
      </w:r>
      <w:r>
        <w:rPr>
          <w:color w:val="2C3E50"/>
          <w:sz w:val="22"/>
          <w:szCs w:val="22"/>
        </w:rPr>
        <w:t xml:space="preserve">  –  Université de Sousse – ISIMS</w:t>
      </w:r>
      <w:r>
        <w:rPr>
          <w:color w:val="888888"/>
          <w:sz w:val="18"/>
          <w:szCs w:val="18"/>
        </w:rPr>
        <w:t xml:space="preserve">  |  2019 – présent</w:t>
      </w:r>
    </w:p>
    <w:p>
      <w:pPr>
        <w:pStyle w:val="ListParagraph"/>
        <w:numPr>
          <w:ilvl w:val="0"/>
          <w:numId w:val="2"/>
        </w:numPr>
        <w:spacing w:after="40"/>
      </w:pPr>
      <w:r>
        <w:rPr>
          <w:sz w:val="20"/>
          <w:szCs w:val="20"/>
        </w:rPr>
        <w:t xml:space="preserve">Enseignement de modules : ML avancé, Optimisation, Analyse numérique, Statistiques (L3, M1, M2)</w:t>
      </w:r>
    </w:p>
    <w:p>
      <w:pPr>
        <w:pStyle w:val="ListParagraph"/>
        <w:numPr>
          <w:ilvl w:val="0"/>
          <w:numId w:val="2"/>
        </w:numPr>
        <w:spacing w:after="40"/>
      </w:pPr>
      <w:r>
        <w:rPr>
          <w:sz w:val="20"/>
          <w:szCs w:val="20"/>
        </w:rPr>
        <w:t xml:space="preserve">Encadrement de 15 mémoires de Master et co-direction de 2 thèses de doctorat</w:t>
      </w:r>
    </w:p>
    <w:p>
      <w:pPr>
        <w:pStyle w:val="ListParagraph"/>
        <w:numPr>
          <w:ilvl w:val="0"/>
          <w:numId w:val="2"/>
        </w:numPr>
        <w:spacing w:after="40"/>
      </w:pPr>
      <w:r>
        <w:rPr>
          <w:sz w:val="20"/>
          <w:szCs w:val="20"/>
        </w:rPr>
        <w:t xml:space="preserve">Responsable du laboratoire LSIB (Lab. Systèmes Intelligents et Big Data)</w:t>
      </w:r>
    </w:p>
    <w:p>
      <w:pPr>
        <w:pStyle w:val="ListParagraph"/>
        <w:numPr>
          <w:ilvl w:val="0"/>
          <w:numId w:val="2"/>
        </w:numPr>
        <w:spacing w:after="40"/>
      </w:pPr>
      <w:r>
        <w:rPr>
          <w:sz w:val="20"/>
          <w:szCs w:val="20"/>
        </w:rPr>
        <w:t xml:space="preserve">Coordinateur du projet ANR-MESRS 'OptiLearn' sur l'optimisation des modèles DL (budget 180 k€)</w:t>
      </w:r>
    </w:p>
    <w:p>
      <w:pPr>
        <w:pStyle w:val="ListParagraph"/>
        <w:numPr>
          <w:ilvl w:val="0"/>
          <w:numId w:val="2"/>
        </w:numPr>
        <w:spacing w:after="40"/>
      </w:pPr>
      <w:r>
        <w:rPr>
          <w:sz w:val="20"/>
          <w:szCs w:val="20"/>
        </w:rPr>
        <w:t xml:space="preserve">Reviewer pour des revues IEEE Transactions on Neural Networks, Pattern Recognition</w:t>
      </w:r>
    </w:p>
    <w:p>
      <w:pPr>
        <w:spacing w:after="40" w:before="140"/>
      </w:pPr>
      <w:r>
        <w:rPr>
          <w:b/>
          <w:bCs/>
          <w:sz w:val="22"/>
          <w:szCs w:val="22"/>
        </w:rPr>
        <w:t xml:space="preserve">Post-Doctorat en Machine Learning</w:t>
      </w:r>
      <w:r>
        <w:rPr>
          <w:color w:val="2C3E50"/>
          <w:sz w:val="22"/>
          <w:szCs w:val="22"/>
        </w:rPr>
        <w:t xml:space="preserve">  –  INRIA Paris – Équipe SIERRA</w:t>
      </w:r>
      <w:r>
        <w:rPr>
          <w:color w:val="888888"/>
          <w:sz w:val="18"/>
          <w:szCs w:val="18"/>
        </w:rPr>
        <w:t xml:space="preserve">  |  2017 – 2019</w:t>
      </w:r>
    </w:p>
    <w:p>
      <w:pPr>
        <w:pStyle w:val="ListParagraph"/>
        <w:numPr>
          <w:ilvl w:val="0"/>
          <w:numId w:val="2"/>
        </w:numPr>
        <w:spacing w:after="40"/>
      </w:pPr>
      <w:r>
        <w:rPr>
          <w:sz w:val="20"/>
          <w:szCs w:val="20"/>
        </w:rPr>
        <w:t xml:space="preserve">Recherches sur les méthodes d'optimisation stochastique pour le deep learning</w:t>
      </w:r>
    </w:p>
    <w:p>
      <w:pPr>
        <w:pStyle w:val="ListParagraph"/>
        <w:numPr>
          <w:ilvl w:val="0"/>
          <w:numId w:val="2"/>
        </w:numPr>
        <w:spacing w:after="40"/>
      </w:pPr>
      <w:r>
        <w:rPr>
          <w:sz w:val="20"/>
          <w:szCs w:val="20"/>
        </w:rPr>
        <w:t xml:space="preserve">Co-auteur de 3 articles NeurIPS et ICML</w:t>
      </w:r>
    </w:p>
    <w:p>
      <w:pPr>
        <w:pBdr>
          <w:bottom w:val="single" w:color="2E4057" w:sz="6"/>
        </w:pBdr>
        <w:spacing w:after="40" w:before="200"/>
      </w:pPr>
      <w:r>
        <w:rPr>
          <w:b/>
          <w:bCs/>
          <w:color w:val="2E4057"/>
          <w:sz w:val="22"/>
          <w:szCs w:val="22"/>
        </w:rPr>
        <w:t xml:space="preserve">FORMATION</w:t>
      </w:r>
    </w:p>
    <w:p>
      <w:pPr>
        <w:spacing w:after="20" w:before="100"/>
      </w:pPr>
      <w:r>
        <w:rPr>
          <w:b/>
          <w:bCs/>
          <w:sz w:val="22"/>
          <w:szCs w:val="22"/>
        </w:rPr>
        <w:t xml:space="preserve">Doctorat en Mathématiques Appliquées &amp; Machine Learning</w:t>
      </w:r>
      <w:r>
        <w:rPr>
          <w:color w:val="888888"/>
          <w:sz w:val="18"/>
          <w:szCs w:val="18"/>
        </w:rPr>
        <w:t xml:space="preserve">  |  2014 – 2017</w:t>
      </w:r>
    </w:p>
    <w:p>
      <w:pPr>
        <w:spacing w:after="40"/>
      </w:pPr>
      <w:r>
        <w:rPr>
          <w:i/>
          <w:iCs/>
          <w:color w:val="555555"/>
          <w:sz w:val="20"/>
          <w:szCs w:val="20"/>
        </w:rPr>
        <w:t xml:space="preserve">Université Paris-Saclay (Paris XI)</w:t>
      </w:r>
    </w:p>
    <w:p>
      <w:pPr>
        <w:spacing w:after="20" w:before="100"/>
      </w:pPr>
      <w:r>
        <w:rPr>
          <w:b/>
          <w:bCs/>
          <w:sz w:val="22"/>
          <w:szCs w:val="22"/>
        </w:rPr>
        <w:t xml:space="preserve">Master Recherche en Mathématiques</w:t>
      </w:r>
      <w:r>
        <w:rPr>
          <w:color w:val="888888"/>
          <w:sz w:val="18"/>
          <w:szCs w:val="18"/>
        </w:rPr>
        <w:t xml:space="preserve">  |  2012 – 2014</w:t>
      </w:r>
    </w:p>
    <w:p>
      <w:pPr>
        <w:spacing w:after="40"/>
      </w:pPr>
      <w:r>
        <w:rPr>
          <w:i/>
          <w:iCs/>
          <w:color w:val="555555"/>
          <w:sz w:val="20"/>
          <w:szCs w:val="20"/>
        </w:rPr>
        <w:t xml:space="preserve">Université de Tunis El Manar</w:t>
      </w:r>
    </w:p>
    <w:p>
      <w:pPr>
        <w:spacing w:after="20" w:before="100"/>
      </w:pPr>
      <w:r>
        <w:rPr>
          <w:b/>
          <w:bCs/>
          <w:sz w:val="22"/>
          <w:szCs w:val="22"/>
        </w:rPr>
        <w:t xml:space="preserve">Licence en Mathématiques</w:t>
      </w:r>
      <w:r>
        <w:rPr>
          <w:color w:val="888888"/>
          <w:sz w:val="18"/>
          <w:szCs w:val="18"/>
        </w:rPr>
        <w:t xml:space="preserve">  |  2009 – 2012</w:t>
      </w:r>
    </w:p>
    <w:p>
      <w:pPr>
        <w:spacing w:after="40"/>
      </w:pPr>
      <w:r>
        <w:rPr>
          <w:i/>
          <w:iCs/>
          <w:color w:val="555555"/>
          <w:sz w:val="20"/>
          <w:szCs w:val="20"/>
        </w:rPr>
        <w:t xml:space="preserve">Université de Sousse</w:t>
      </w:r>
    </w:p>
    <w:p>
      <w:pPr>
        <w:pBdr>
          <w:bottom w:val="single" w:color="2E4057" w:sz="6"/>
        </w:pBdr>
        <w:spacing w:after="40" w:before="200"/>
      </w:pPr>
      <w:r>
        <w:rPr>
          <w:b/>
          <w:bCs/>
          <w:color w:val="2E4057"/>
          <w:sz w:val="22"/>
          <w:szCs w:val="22"/>
        </w:rPr>
        <w:t xml:space="preserve">COMPÉTENCES</w:t>
      </w:r>
    </w:p>
    <w:p>
      <w:pPr>
        <w:spacing w:after="40"/>
      </w:pPr>
      <w:r>
        <w:rPr>
          <w:b/>
          <w:bCs/>
          <w:sz w:val="20"/>
          <w:szCs w:val="20"/>
        </w:rPr>
        <w:t xml:space="preserve">Recherche : </w:t>
      </w:r>
      <w:r>
        <w:rPr>
          <w:sz w:val="20"/>
          <w:szCs w:val="20"/>
        </w:rPr>
        <w:t xml:space="preserve">Machine Learning, Deep Learning, Optimisation convexe, Traitement du signal</w:t>
      </w:r>
    </w:p>
    <w:p>
      <w:pPr>
        <w:spacing w:after="40"/>
      </w:pPr>
      <w:r>
        <w:rPr>
          <w:b/>
          <w:bCs/>
          <w:sz w:val="20"/>
          <w:szCs w:val="20"/>
        </w:rPr>
        <w:t xml:space="preserve">Langages : </w:t>
      </w:r>
      <w:r>
        <w:rPr>
          <w:sz w:val="20"/>
          <w:szCs w:val="20"/>
        </w:rPr>
        <w:t xml:space="preserve">Python (PyTorch, TensorFlow, scikit-learn), MATLAB, Julia, R</w:t>
      </w:r>
    </w:p>
    <w:p>
      <w:pPr>
        <w:spacing w:after="40"/>
      </w:pPr>
      <w:r>
        <w:rPr>
          <w:b/>
          <w:bCs/>
          <w:sz w:val="20"/>
          <w:szCs w:val="20"/>
        </w:rPr>
        <w:t xml:space="preserve">Publications : </w:t>
      </w:r>
      <w:r>
        <w:rPr>
          <w:sz w:val="20"/>
          <w:szCs w:val="20"/>
        </w:rPr>
        <w:t xml:space="preserve">12 articles indexés Scopus, h-index : 7, 200+ citations</w:t>
      </w:r>
    </w:p>
    <w:p>
      <w:pPr>
        <w:spacing w:after="40"/>
      </w:pPr>
      <w:r>
        <w:rPr>
          <w:b/>
          <w:bCs/>
          <w:sz w:val="20"/>
          <w:szCs w:val="20"/>
        </w:rPr>
        <w:t xml:space="preserve">Enseignement : </w:t>
      </w:r>
      <w:r>
        <w:rPr>
          <w:sz w:val="20"/>
          <w:szCs w:val="20"/>
        </w:rPr>
        <w:t xml:space="preserve">Pédagogie universitaire, e-learning (Moodle), formation continue</w:t>
      </w:r>
    </w:p>
    <w:p>
      <w:pPr>
        <w:pBdr>
          <w:bottom w:val="single" w:color="2E4057" w:sz="6"/>
        </w:pBdr>
        <w:spacing w:after="40" w:before="200"/>
      </w:pPr>
      <w:r>
        <w:rPr>
          <w:b/>
          <w:bCs/>
          <w:color w:val="2E4057"/>
          <w:sz w:val="22"/>
          <w:szCs w:val="22"/>
        </w:rPr>
        <w:t xml:space="preserve">LANGUES</w:t>
      </w:r>
    </w:p>
    <w:p>
      <w:pPr>
        <w:spacing w:after="40"/>
      </w:pPr>
      <w:r>
        <w:rPr>
          <w:sz w:val="20"/>
          <w:szCs w:val="20"/>
        </w:rPr>
        <w:t xml:space="preserve">Arabe (natif), Français (courant), Anglais (courant – publications et conférences)</w:t>
      </w:r>
    </w:p>
    <w:p>
      <w:pPr>
        <w:pBdr>
          <w:bottom w:val="single" w:color="2E4057" w:sz="6"/>
        </w:pBdr>
        <w:spacing w:after="40" w:before="200"/>
      </w:pPr>
      <w:r>
        <w:rPr>
          <w:b/>
          <w:bCs/>
          <w:color w:val="2E4057"/>
          <w:sz w:val="22"/>
          <w:szCs w:val="22"/>
        </w:rPr>
        <w:t xml:space="preserve">INFORMATIONS COMPLÉMENTAIRES</w:t>
      </w:r>
    </w:p>
    <w:p>
      <w:pPr>
        <w:pStyle w:val="ListParagraph"/>
        <w:numPr>
          <w:ilvl w:val="0"/>
          <w:numId w:val="2"/>
        </w:numPr>
        <w:spacing w:after="40"/>
      </w:pPr>
      <w:r>
        <w:rPr>
          <w:sz w:val="20"/>
          <w:szCs w:val="20"/>
        </w:rPr>
        <w:t xml:space="preserve">Éditeur associé – Tunisian Journal of Applied Mathematics</w:t>
      </w:r>
    </w:p>
    <w:p>
      <w:pPr>
        <w:pStyle w:val="ListParagraph"/>
        <w:numPr>
          <w:ilvl w:val="0"/>
          <w:numId w:val="2"/>
        </w:numPr>
        <w:spacing w:after="40"/>
      </w:pPr>
      <w:r>
        <w:rPr>
          <w:sz w:val="20"/>
          <w:szCs w:val="20"/>
        </w:rPr>
        <w:t xml:space="preserve">Conférencier invité : ICMLA 2022 (Orlando), ECML 2023 (Turin)</w:t>
      </w:r>
    </w:p>
    <w:p>
      <w:pPr>
        <w:pStyle w:val="ListParagraph"/>
        <w:numPr>
          <w:ilvl w:val="0"/>
          <w:numId w:val="2"/>
        </w:numPr>
        <w:spacing w:after="40"/>
      </w:pPr>
      <w:r>
        <w:rPr>
          <w:sz w:val="20"/>
          <w:szCs w:val="20"/>
        </w:rPr>
        <w:t xml:space="preserve">Prix d'Excellence en Recherche – Ministère de l'Enseignement Supérieur 2021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2026-04-20T08:56:35.964Z</dcterms:created>
  <dcterms:modified xsi:type="dcterms:W3CDTF">2026-04-20T08:56:35.964Z</dcterms:modified>
</cp:coreProperties>
</file>

<file path=docProps/custom.xml><?xml version="1.0" encoding="utf-8"?>
<Properties xmlns="http://schemas.openxmlformats.org/officeDocument/2006/custom-properties" xmlns:vt="http://schemas.openxmlformats.org/officeDocument/2006/docPropsVTypes"/>
</file>