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6C3F" w14:textId="77777777" w:rsidR="00E06124" w:rsidRPr="00CF21D5" w:rsidRDefault="00E06124" w:rsidP="00CF21D5">
      <w:pPr>
        <w:pStyle w:val="Heading1"/>
        <w:spacing w:before="100" w:beforeAutospacing="1" w:after="100" w:afterAutospacing="1" w:line="360" w:lineRule="auto"/>
        <w:jc w:val="center"/>
        <w:rPr>
          <w:rFonts w:cstheme="majorHAnsi"/>
          <w:b/>
          <w:bCs/>
          <w:color w:val="auto"/>
          <w:sz w:val="22"/>
          <w:szCs w:val="22"/>
        </w:rPr>
      </w:pPr>
      <w:r w:rsidRPr="00CF21D5">
        <w:rPr>
          <w:rFonts w:cstheme="majorHAnsi"/>
          <w:b/>
          <w:bCs/>
          <w:color w:val="auto"/>
          <w:sz w:val="22"/>
          <w:szCs w:val="22"/>
        </w:rPr>
        <w:t>Agricultural producer responses to minimum wage changes</w:t>
      </w:r>
    </w:p>
    <w:p w14:paraId="63409243" w14:textId="4F560BD0" w:rsidR="00E06124" w:rsidRPr="00CF21D5" w:rsidRDefault="00E06124" w:rsidP="00CF21D5">
      <w:pPr>
        <w:spacing w:before="100" w:beforeAutospacing="1" w:after="100" w:afterAutospacing="1" w:line="360" w:lineRule="auto"/>
        <w:jc w:val="both"/>
        <w:rPr>
          <w:rFonts w:asciiTheme="majorHAnsi" w:hAnsiTheme="majorHAnsi" w:cstheme="majorHAnsi"/>
          <w:lang w:val="en-US"/>
        </w:rPr>
      </w:pPr>
      <w:r w:rsidRPr="00CF21D5">
        <w:rPr>
          <w:rFonts w:asciiTheme="majorHAnsi" w:hAnsiTheme="majorHAnsi" w:cstheme="majorHAnsi"/>
          <w:lang w:val="en-US"/>
        </w:rPr>
        <w:t>Michael Kilumelume</w:t>
      </w:r>
      <w:r w:rsidRPr="00CF21D5">
        <w:rPr>
          <w:rStyle w:val="FootnoteReference"/>
          <w:rFonts w:asciiTheme="majorHAnsi" w:hAnsiTheme="majorHAnsi" w:cstheme="majorHAnsi"/>
          <w:lang w:val="en-US"/>
        </w:rPr>
        <w:footnoteReference w:id="1"/>
      </w:r>
      <w:r w:rsidRPr="00F84AB8">
        <w:rPr>
          <w:rFonts w:asciiTheme="majorHAnsi" w:hAnsiTheme="majorHAnsi" w:cstheme="majorHAnsi"/>
          <w:vertAlign w:val="superscript"/>
          <w:lang w:val="en-US"/>
        </w:rPr>
        <w:t>,</w:t>
      </w:r>
      <w:r w:rsidRPr="00CF21D5">
        <w:rPr>
          <w:rStyle w:val="FootnoteReference"/>
          <w:rFonts w:asciiTheme="majorHAnsi" w:hAnsiTheme="majorHAnsi" w:cstheme="majorHAnsi"/>
          <w:lang w:val="en-US"/>
        </w:rPr>
        <w:footnoteReference w:id="2"/>
      </w:r>
      <w:r w:rsidRPr="00CF21D5">
        <w:rPr>
          <w:rFonts w:asciiTheme="majorHAnsi" w:hAnsiTheme="majorHAnsi" w:cstheme="majorHAnsi"/>
          <w:lang w:val="en-US"/>
        </w:rPr>
        <w:t>, Dieter Von Fintel</w:t>
      </w:r>
      <w:r w:rsidRPr="00F84AB8">
        <w:rPr>
          <w:rFonts w:asciiTheme="majorHAnsi" w:hAnsiTheme="majorHAnsi" w:cstheme="majorHAnsi"/>
          <w:vertAlign w:val="superscript"/>
          <w:lang w:val="en-US"/>
        </w:rPr>
        <w:t>1,</w:t>
      </w:r>
      <w:r w:rsidRPr="00F84AB8">
        <w:rPr>
          <w:rStyle w:val="FootnoteReference"/>
          <w:rFonts w:asciiTheme="majorHAnsi" w:hAnsiTheme="majorHAnsi" w:cstheme="majorHAnsi"/>
          <w:lang w:val="en-US"/>
        </w:rPr>
        <w:footnoteReference w:id="3"/>
      </w:r>
      <w:r w:rsidRPr="00F84AB8">
        <w:rPr>
          <w:rFonts w:asciiTheme="majorHAnsi" w:hAnsiTheme="majorHAnsi" w:cstheme="majorHAnsi"/>
          <w:vertAlign w:val="superscript"/>
          <w:lang w:val="en-US"/>
        </w:rPr>
        <w:t>,</w:t>
      </w:r>
      <w:r w:rsidRPr="00CF21D5">
        <w:rPr>
          <w:rStyle w:val="FootnoteReference"/>
          <w:rFonts w:asciiTheme="majorHAnsi" w:hAnsiTheme="majorHAnsi" w:cstheme="majorHAnsi"/>
          <w:lang w:val="en-US"/>
        </w:rPr>
        <w:footnoteReference w:id="4"/>
      </w:r>
      <w:r w:rsidRPr="00CF21D5">
        <w:rPr>
          <w:rFonts w:asciiTheme="majorHAnsi" w:hAnsiTheme="majorHAnsi" w:cstheme="majorHAnsi"/>
          <w:lang w:val="en-US"/>
        </w:rPr>
        <w:t>, Mariles Piek</w:t>
      </w:r>
      <w:r w:rsidRPr="00F84AB8">
        <w:rPr>
          <w:rFonts w:asciiTheme="majorHAnsi" w:hAnsiTheme="majorHAnsi" w:cstheme="majorHAnsi"/>
          <w:vertAlign w:val="superscript"/>
          <w:lang w:val="en-US"/>
        </w:rPr>
        <w:t>2</w:t>
      </w:r>
      <w:r w:rsidRPr="00CF21D5">
        <w:rPr>
          <w:rFonts w:asciiTheme="majorHAnsi" w:hAnsiTheme="majorHAnsi" w:cstheme="majorHAnsi"/>
          <w:lang w:val="en-US"/>
        </w:rPr>
        <w:t xml:space="preserve"> and </w:t>
      </w:r>
      <w:proofErr w:type="spellStart"/>
      <w:r w:rsidRPr="00CF21D5">
        <w:rPr>
          <w:rFonts w:asciiTheme="majorHAnsi" w:hAnsiTheme="majorHAnsi" w:cstheme="majorHAnsi"/>
          <w:lang w:val="en-US"/>
        </w:rPr>
        <w:t>Seiro</w:t>
      </w:r>
      <w:proofErr w:type="spellEnd"/>
      <w:r w:rsidRPr="00CF21D5">
        <w:rPr>
          <w:rFonts w:asciiTheme="majorHAnsi" w:hAnsiTheme="majorHAnsi" w:cstheme="majorHAnsi"/>
          <w:lang w:val="en-US"/>
        </w:rPr>
        <w:t xml:space="preserve"> Ito</w:t>
      </w:r>
      <w:r w:rsidRPr="00CF21D5">
        <w:rPr>
          <w:rStyle w:val="FootnoteReference"/>
          <w:rFonts w:asciiTheme="majorHAnsi" w:hAnsiTheme="majorHAnsi" w:cstheme="majorHAnsi"/>
          <w:lang w:val="en-US"/>
        </w:rPr>
        <w:footnoteReference w:id="5"/>
      </w:r>
    </w:p>
    <w:p w14:paraId="0B178C41" w14:textId="77700FA5" w:rsidR="008F51B2" w:rsidRPr="008F51B2" w:rsidRDefault="008F51B2" w:rsidP="008F51B2">
      <w:pPr>
        <w:spacing w:line="360" w:lineRule="auto"/>
        <w:jc w:val="both"/>
        <w:rPr>
          <w:rFonts w:asciiTheme="majorHAnsi" w:eastAsia="Times New Roman" w:hAnsiTheme="majorHAnsi" w:cstheme="majorHAnsi"/>
          <w:b/>
          <w:bCs/>
          <w:lang w:val="en-US"/>
        </w:rPr>
      </w:pPr>
      <w:r w:rsidRPr="008F51B2">
        <w:rPr>
          <w:rFonts w:asciiTheme="majorHAnsi" w:eastAsia="Times New Roman" w:hAnsiTheme="majorHAnsi" w:cstheme="majorHAnsi"/>
          <w:b/>
          <w:bCs/>
          <w:lang w:val="en-US"/>
        </w:rPr>
        <w:t xml:space="preserve">Abstract </w:t>
      </w:r>
    </w:p>
    <w:p w14:paraId="54F2A4B7" w14:textId="2B260E13" w:rsidR="008F51B2" w:rsidRDefault="008D3DBB" w:rsidP="008D3DBB">
      <w:pPr>
        <w:spacing w:line="360" w:lineRule="auto"/>
        <w:jc w:val="both"/>
        <w:rPr>
          <w:rFonts w:asciiTheme="majorHAnsi" w:eastAsia="Times New Roman" w:hAnsiTheme="majorHAnsi" w:cstheme="majorHAnsi"/>
          <w:lang w:val="en-US"/>
        </w:rPr>
      </w:pPr>
      <w:r w:rsidRPr="008D3DBB">
        <w:rPr>
          <w:rFonts w:asciiTheme="majorHAnsi" w:eastAsia="Times New Roman" w:hAnsiTheme="majorHAnsi" w:cstheme="majorHAnsi"/>
          <w:lang w:val="en-US"/>
        </w:rPr>
        <w:t xml:space="preserve">In 2013, South Africa's agricultural sector experienced a substantial 52% increase in minimum wages. This </w:t>
      </w:r>
      <w:r w:rsidR="000D2938">
        <w:rPr>
          <w:rFonts w:asciiTheme="majorHAnsi" w:eastAsia="Times New Roman" w:hAnsiTheme="majorHAnsi" w:cstheme="majorHAnsi"/>
          <w:lang w:val="en-US"/>
        </w:rPr>
        <w:t>paper</w:t>
      </w:r>
      <w:r w:rsidRPr="008D3DBB">
        <w:rPr>
          <w:rFonts w:asciiTheme="majorHAnsi" w:eastAsia="Times New Roman" w:hAnsiTheme="majorHAnsi" w:cstheme="majorHAnsi"/>
          <w:lang w:val="en-US"/>
        </w:rPr>
        <w:t xml:space="preserve"> employs a rigorous difference-in-differences methodology to examine the strategies employed by farm owners to accommodate the additional wage costs incurred. While existing literature on South African minimum wages has predominantly focused on employment outcomes due to limited access to micro firm-level data, we adopt a more comprehensive approach. Utilizing administrative tax data, we expand the analytical framework, resulting in a larger sample size and increased precision compared to traditional survey methods.</w:t>
      </w:r>
      <w:r>
        <w:rPr>
          <w:rFonts w:asciiTheme="majorHAnsi" w:eastAsia="Times New Roman" w:hAnsiTheme="majorHAnsi" w:cstheme="majorHAnsi"/>
          <w:lang w:val="en-US"/>
        </w:rPr>
        <w:t xml:space="preserve"> </w:t>
      </w:r>
      <w:r w:rsidRPr="008D3DBB">
        <w:rPr>
          <w:rFonts w:asciiTheme="majorHAnsi" w:eastAsia="Times New Roman" w:hAnsiTheme="majorHAnsi" w:cstheme="majorHAnsi"/>
          <w:lang w:val="en-US"/>
        </w:rPr>
        <w:t>Our empirical findings reveal that farms with initially lower wage levels responded to the wage hike by raising their average wages, concurrently reducing their levels of employment. Importantly, our analysis does not yield conclusive evidence in favor of capital-labor substitution. Notably, sales revenues remained unchanged, suggesting that this adjustment in labor costs may have been accompanied by improvements in overall production efficiency. These findings contribute to a deeper understanding of the labor market dynamics in the South African agricultural sector following minimum wage policy changes.</w:t>
      </w:r>
    </w:p>
    <w:p w14:paraId="021E4B60" w14:textId="77777777" w:rsidR="008D3DBB" w:rsidRPr="008D3DBB" w:rsidRDefault="008D3DBB" w:rsidP="008D3DBB">
      <w:pPr>
        <w:spacing w:line="360" w:lineRule="auto"/>
        <w:jc w:val="both"/>
        <w:rPr>
          <w:rFonts w:asciiTheme="majorHAnsi" w:eastAsia="Times New Roman" w:hAnsiTheme="majorHAnsi" w:cstheme="majorHAnsi"/>
          <w:lang w:val="en-US"/>
        </w:rPr>
      </w:pPr>
    </w:p>
    <w:p w14:paraId="7BA5D260" w14:textId="77777777" w:rsidR="008F51B2" w:rsidRPr="008F51B2" w:rsidRDefault="008F51B2" w:rsidP="008F51B2">
      <w:pPr>
        <w:spacing w:line="360" w:lineRule="auto"/>
        <w:jc w:val="both"/>
        <w:rPr>
          <w:rFonts w:asciiTheme="majorHAnsi" w:eastAsia="Times New Roman" w:hAnsiTheme="majorHAnsi" w:cstheme="majorHAnsi"/>
          <w:lang w:val="en-US"/>
        </w:rPr>
      </w:pPr>
      <w:r w:rsidRPr="008F51B2">
        <w:rPr>
          <w:rFonts w:asciiTheme="majorHAnsi" w:eastAsia="Times New Roman" w:hAnsiTheme="majorHAnsi" w:cstheme="majorHAnsi"/>
          <w:b/>
          <w:bCs/>
          <w:lang w:val="en-US"/>
        </w:rPr>
        <w:t xml:space="preserve">Keywords: </w:t>
      </w:r>
      <w:r w:rsidRPr="008F51B2">
        <w:rPr>
          <w:rFonts w:asciiTheme="majorHAnsi" w:eastAsia="Times New Roman" w:hAnsiTheme="majorHAnsi" w:cstheme="majorHAnsi"/>
          <w:lang w:val="en-US"/>
        </w:rPr>
        <w:t>South Africa, agricultural sector, minimum wage, firm-level margins, administrative tax data, employment, efficiency, capital-</w:t>
      </w:r>
      <w:proofErr w:type="spellStart"/>
      <w:r w:rsidRPr="008F51B2">
        <w:rPr>
          <w:rFonts w:asciiTheme="majorHAnsi" w:eastAsia="Times New Roman" w:hAnsiTheme="majorHAnsi" w:cstheme="majorHAnsi"/>
          <w:lang w:val="en-US"/>
        </w:rPr>
        <w:t>labour</w:t>
      </w:r>
      <w:proofErr w:type="spellEnd"/>
      <w:r w:rsidRPr="008F51B2">
        <w:rPr>
          <w:rFonts w:asciiTheme="majorHAnsi" w:eastAsia="Times New Roman" w:hAnsiTheme="majorHAnsi" w:cstheme="majorHAnsi"/>
          <w:lang w:val="en-US"/>
        </w:rPr>
        <w:t xml:space="preserve"> substitution.</w:t>
      </w:r>
    </w:p>
    <w:p w14:paraId="23849B2C" w14:textId="77777777" w:rsidR="008F51B2" w:rsidRPr="008F51B2" w:rsidRDefault="008F51B2" w:rsidP="008F51B2">
      <w:pPr>
        <w:spacing w:line="360" w:lineRule="auto"/>
        <w:jc w:val="both"/>
        <w:rPr>
          <w:rFonts w:asciiTheme="majorHAnsi" w:eastAsia="Times New Roman" w:hAnsiTheme="majorHAnsi" w:cstheme="majorHAnsi"/>
          <w:b/>
          <w:bCs/>
          <w:lang w:val="en-US"/>
        </w:rPr>
      </w:pPr>
    </w:p>
    <w:p w14:paraId="22E0A69E" w14:textId="77777777" w:rsidR="008F51B2" w:rsidRDefault="008F51B2" w:rsidP="008F51B2">
      <w:pPr>
        <w:spacing w:line="360" w:lineRule="auto"/>
        <w:jc w:val="both"/>
        <w:rPr>
          <w:rFonts w:asciiTheme="majorHAnsi" w:eastAsia="Times New Roman" w:hAnsiTheme="majorHAnsi" w:cstheme="majorHAnsi"/>
          <w:b/>
          <w:bCs/>
          <w:lang w:val="en-US"/>
        </w:rPr>
      </w:pPr>
      <w:r w:rsidRPr="008F51B2">
        <w:rPr>
          <w:rFonts w:asciiTheme="majorHAnsi" w:eastAsia="Times New Roman" w:hAnsiTheme="majorHAnsi" w:cstheme="majorHAnsi"/>
          <w:b/>
          <w:bCs/>
          <w:lang w:val="en-US"/>
        </w:rPr>
        <w:t>JEL Classification: C21, C23, J23, J38</w:t>
      </w:r>
    </w:p>
    <w:p w14:paraId="1CBE17F6" w14:textId="77777777" w:rsidR="008D3DBB" w:rsidRDefault="008D3DBB" w:rsidP="008F51B2">
      <w:pPr>
        <w:spacing w:line="360" w:lineRule="auto"/>
        <w:jc w:val="both"/>
        <w:rPr>
          <w:rFonts w:asciiTheme="majorHAnsi" w:eastAsia="Times New Roman" w:hAnsiTheme="majorHAnsi" w:cstheme="majorHAnsi"/>
          <w:b/>
          <w:bCs/>
          <w:lang w:val="en-US"/>
        </w:rPr>
      </w:pPr>
    </w:p>
    <w:p w14:paraId="6D97D7C9" w14:textId="77777777" w:rsidR="008D3DBB" w:rsidRDefault="008D3DBB" w:rsidP="008F51B2">
      <w:pPr>
        <w:spacing w:line="360" w:lineRule="auto"/>
        <w:jc w:val="both"/>
        <w:rPr>
          <w:rFonts w:asciiTheme="majorHAnsi" w:eastAsia="Times New Roman" w:hAnsiTheme="majorHAnsi" w:cstheme="majorHAnsi"/>
          <w:b/>
          <w:bCs/>
          <w:lang w:val="en-US"/>
        </w:rPr>
      </w:pPr>
    </w:p>
    <w:p w14:paraId="6F5DADAD" w14:textId="77777777" w:rsidR="008D3DBB" w:rsidRDefault="008D3DBB" w:rsidP="008F51B2">
      <w:pPr>
        <w:spacing w:line="360" w:lineRule="auto"/>
        <w:jc w:val="both"/>
        <w:rPr>
          <w:rFonts w:asciiTheme="majorHAnsi" w:eastAsia="Times New Roman" w:hAnsiTheme="majorHAnsi" w:cstheme="majorHAnsi"/>
          <w:b/>
          <w:bCs/>
          <w:lang w:val="en-US"/>
        </w:rPr>
      </w:pPr>
    </w:p>
    <w:p w14:paraId="68EF11C4" w14:textId="77777777" w:rsidR="008D3DBB" w:rsidRDefault="008D3DBB" w:rsidP="008F51B2">
      <w:pPr>
        <w:spacing w:line="360" w:lineRule="auto"/>
        <w:jc w:val="both"/>
        <w:rPr>
          <w:rFonts w:asciiTheme="majorHAnsi" w:eastAsia="Times New Roman" w:hAnsiTheme="majorHAnsi" w:cstheme="majorHAnsi"/>
          <w:b/>
          <w:bCs/>
          <w:lang w:val="en-US"/>
        </w:rPr>
      </w:pPr>
    </w:p>
    <w:p w14:paraId="5113BA8C" w14:textId="77777777" w:rsidR="008D3DBB" w:rsidRDefault="008D3DBB" w:rsidP="008F51B2">
      <w:pPr>
        <w:spacing w:line="360" w:lineRule="auto"/>
        <w:jc w:val="both"/>
        <w:rPr>
          <w:rFonts w:asciiTheme="majorHAnsi" w:eastAsia="Times New Roman" w:hAnsiTheme="majorHAnsi" w:cstheme="majorHAnsi"/>
          <w:b/>
          <w:bCs/>
          <w:lang w:val="en-US"/>
        </w:rPr>
      </w:pPr>
    </w:p>
    <w:p w14:paraId="3A59BAF6" w14:textId="77777777" w:rsidR="008D3DBB" w:rsidRDefault="008D3DBB" w:rsidP="008F51B2">
      <w:pPr>
        <w:spacing w:line="360" w:lineRule="auto"/>
        <w:jc w:val="both"/>
        <w:rPr>
          <w:rFonts w:asciiTheme="majorHAnsi" w:eastAsia="Times New Roman" w:hAnsiTheme="majorHAnsi" w:cstheme="majorHAnsi"/>
          <w:b/>
          <w:bCs/>
          <w:lang w:val="en-US"/>
        </w:rPr>
      </w:pPr>
    </w:p>
    <w:p w14:paraId="7CF986DD" w14:textId="10BA31AE" w:rsidR="00E06124" w:rsidRPr="00C86818" w:rsidRDefault="00E06124" w:rsidP="00C86818">
      <w:pPr>
        <w:pStyle w:val="ListParagraph"/>
        <w:numPr>
          <w:ilvl w:val="0"/>
          <w:numId w:val="17"/>
        </w:numPr>
        <w:spacing w:line="360" w:lineRule="auto"/>
        <w:jc w:val="both"/>
        <w:rPr>
          <w:rFonts w:asciiTheme="majorHAnsi" w:hAnsiTheme="majorHAnsi" w:cstheme="majorHAnsi"/>
          <w:b/>
          <w:bCs/>
        </w:rPr>
      </w:pPr>
      <w:r w:rsidRPr="00C86818">
        <w:rPr>
          <w:rFonts w:asciiTheme="majorHAnsi" w:hAnsiTheme="majorHAnsi" w:cstheme="majorHAnsi"/>
          <w:b/>
          <w:bCs/>
        </w:rPr>
        <w:lastRenderedPageBreak/>
        <w:t>Introduction</w:t>
      </w:r>
    </w:p>
    <w:p w14:paraId="1A59BE60" w14:textId="5F37E222" w:rsidR="008D3DBB" w:rsidRPr="008D3DBB" w:rsidRDefault="008D3DBB" w:rsidP="004F2C1B">
      <w:pPr>
        <w:spacing w:before="100" w:beforeAutospacing="1" w:after="100" w:afterAutospacing="1" w:line="360" w:lineRule="auto"/>
        <w:jc w:val="both"/>
        <w:rPr>
          <w:rFonts w:asciiTheme="majorHAnsi" w:eastAsia="Times New Roman" w:hAnsiTheme="majorHAnsi" w:cstheme="majorHAnsi"/>
          <w:lang w:eastAsia="en-GB"/>
        </w:rPr>
      </w:pPr>
      <w:r w:rsidRPr="008D3DBB">
        <w:rPr>
          <w:rFonts w:asciiTheme="majorHAnsi" w:eastAsia="Times New Roman" w:hAnsiTheme="majorHAnsi" w:cstheme="majorHAnsi"/>
          <w:lang w:eastAsia="en-GB"/>
        </w:rPr>
        <w:t>The discourse surrounding the effects of minimum wages on low-wage employment has been at the forefront of economic debates since the seminal work of Card and Kruger in 2000. While empirical studies have produced diverse findings, a notable evolution in the economic consensus regarding the employment consequences of minimum wages has emerged (Geide-Stevenson &amp; La Parra-Perez, 2022). However, the empirical evidence in the context of developing nations, marked by nuances such as legislative non-compliance that can attenuate employment effects (</w:t>
      </w:r>
      <w:proofErr w:type="spellStart"/>
      <w:r w:rsidRPr="008D3DBB">
        <w:rPr>
          <w:rFonts w:asciiTheme="majorHAnsi" w:eastAsia="Times New Roman" w:hAnsiTheme="majorHAnsi" w:cstheme="majorHAnsi"/>
          <w:lang w:eastAsia="en-GB"/>
        </w:rPr>
        <w:t>Bhorat</w:t>
      </w:r>
      <w:proofErr w:type="spellEnd"/>
      <w:r w:rsidRPr="008D3DBB">
        <w:rPr>
          <w:rFonts w:asciiTheme="majorHAnsi" w:eastAsia="Times New Roman" w:hAnsiTheme="majorHAnsi" w:cstheme="majorHAnsi"/>
          <w:lang w:eastAsia="en-GB"/>
        </w:rPr>
        <w:t xml:space="preserve"> et al., 2017), remains limited. Furthermore, firms faced with minimum wage increases make intricate decisions that encompass adjustments to employment levels, alterations in production techniques, and considerations of capital-labour trade-offs.</w:t>
      </w:r>
    </w:p>
    <w:p w14:paraId="316986E6" w14:textId="1453E474" w:rsidR="008D3DBB" w:rsidRPr="008D3DBB" w:rsidRDefault="008D3DBB" w:rsidP="004F2C1B">
      <w:pPr>
        <w:spacing w:before="100" w:beforeAutospacing="1" w:after="100" w:afterAutospacing="1" w:line="360" w:lineRule="auto"/>
        <w:jc w:val="both"/>
        <w:rPr>
          <w:rFonts w:asciiTheme="majorHAnsi" w:eastAsia="Times New Roman" w:hAnsiTheme="majorHAnsi" w:cstheme="majorHAnsi"/>
          <w:lang w:eastAsia="en-GB"/>
        </w:rPr>
      </w:pPr>
      <w:r w:rsidRPr="008D3DBB">
        <w:rPr>
          <w:rFonts w:asciiTheme="majorHAnsi" w:eastAsia="Times New Roman" w:hAnsiTheme="majorHAnsi" w:cstheme="majorHAnsi"/>
          <w:lang w:eastAsia="en-GB"/>
        </w:rPr>
        <w:t xml:space="preserve">This study delves into the response of agricultural enterprises in South Africa, a relatively underexplored area within developing economies, to shifts in minimum wages. Existing literature broadly divides into supply-side and demand-side perspectives. Supply-side research predominantly relies on household-level data and generally concludes that minimum wages bolster earnings at the lower end of the wage scale. Empirical accounts vacillate between indicating potential job losses (Brown et al., 1982; Paredes and Riveros, 1989; Chacra </w:t>
      </w:r>
      <w:proofErr w:type="spellStart"/>
      <w:r w:rsidRPr="008D3DBB">
        <w:rPr>
          <w:rFonts w:asciiTheme="majorHAnsi" w:eastAsia="Times New Roman" w:hAnsiTheme="majorHAnsi" w:cstheme="majorHAnsi"/>
          <w:lang w:eastAsia="en-GB"/>
        </w:rPr>
        <w:t>Orfali</w:t>
      </w:r>
      <w:proofErr w:type="spellEnd"/>
      <w:r w:rsidRPr="008D3DBB">
        <w:rPr>
          <w:rFonts w:asciiTheme="majorHAnsi" w:eastAsia="Times New Roman" w:hAnsiTheme="majorHAnsi" w:cstheme="majorHAnsi"/>
          <w:lang w:eastAsia="en-GB"/>
        </w:rPr>
        <w:t xml:space="preserve">, 1990) and more neutral, occasionally </w:t>
      </w:r>
      <w:r w:rsidR="00E44372" w:rsidRPr="008D3DBB">
        <w:rPr>
          <w:rFonts w:asciiTheme="majorHAnsi" w:eastAsia="Times New Roman" w:hAnsiTheme="majorHAnsi" w:cstheme="majorHAnsi"/>
          <w:lang w:eastAsia="en-GB"/>
        </w:rPr>
        <w:t>favourable</w:t>
      </w:r>
      <w:r w:rsidRPr="008D3DBB">
        <w:rPr>
          <w:rFonts w:asciiTheme="majorHAnsi" w:eastAsia="Times New Roman" w:hAnsiTheme="majorHAnsi" w:cstheme="majorHAnsi"/>
          <w:lang w:eastAsia="en-GB"/>
        </w:rPr>
        <w:t>, outcomes (Card and Krueger, 1993; Martinez et al., 2001; Miranda, 2013). In contrast, demand-side literature, though rare due to data accessibility challenges, offers a more comprehensive view, exploring firm-level implications including employment, profit margins, and revenue. However, these insights are primarily derived from industrialized economies and seldom extend to emerging economies, and when they do, they are typically confined to the manufacturing sector.</w:t>
      </w:r>
    </w:p>
    <w:p w14:paraId="2AB3CA10" w14:textId="2DC9F37A" w:rsidR="008D3DBB" w:rsidRPr="008D3DBB" w:rsidRDefault="008D3DBB" w:rsidP="004F2C1B">
      <w:pPr>
        <w:spacing w:before="100" w:beforeAutospacing="1" w:after="100" w:afterAutospacing="1" w:line="360" w:lineRule="auto"/>
        <w:jc w:val="both"/>
        <w:rPr>
          <w:rFonts w:asciiTheme="majorHAnsi" w:eastAsia="Times New Roman" w:hAnsiTheme="majorHAnsi" w:cstheme="majorHAnsi"/>
          <w:lang w:eastAsia="en-GB"/>
        </w:rPr>
      </w:pPr>
      <w:r w:rsidRPr="008D3DBB">
        <w:rPr>
          <w:rFonts w:asciiTheme="majorHAnsi" w:eastAsia="Times New Roman" w:hAnsiTheme="majorHAnsi" w:cstheme="majorHAnsi"/>
          <w:lang w:eastAsia="en-GB"/>
        </w:rPr>
        <w:t>Our research addresses this gap and advances in two significant ways: first, by broadening the scope beyond mere employment considerations in the South African context, and second, by innovatively harnessing administrative tax data, which, despite its inherent challenges, offers the promise of precision, comprehensive samples, and unfiltered insights rarely attainable through conventional survey methods. It is important to note, however, that our analysis inadvertently excludes the bustling informal sector, which largely operates outside the realm of minimum wage regulations (</w:t>
      </w:r>
      <w:proofErr w:type="spellStart"/>
      <w:r w:rsidRPr="008D3DBB">
        <w:rPr>
          <w:rFonts w:asciiTheme="majorHAnsi" w:eastAsia="Times New Roman" w:hAnsiTheme="majorHAnsi" w:cstheme="majorHAnsi"/>
          <w:lang w:eastAsia="en-GB"/>
        </w:rPr>
        <w:t>Bhorat</w:t>
      </w:r>
      <w:proofErr w:type="spellEnd"/>
      <w:r w:rsidRPr="008D3DBB">
        <w:rPr>
          <w:rFonts w:asciiTheme="majorHAnsi" w:eastAsia="Times New Roman" w:hAnsiTheme="majorHAnsi" w:cstheme="majorHAnsi"/>
          <w:lang w:eastAsia="en-GB"/>
        </w:rPr>
        <w:t xml:space="preserve"> et al., 2017).</w:t>
      </w:r>
    </w:p>
    <w:p w14:paraId="27255117" w14:textId="2569D4CA" w:rsidR="008D3DBB" w:rsidRPr="008D3DBB" w:rsidRDefault="008D3DBB" w:rsidP="004F2C1B">
      <w:pPr>
        <w:spacing w:before="100" w:beforeAutospacing="1" w:after="100" w:afterAutospacing="1" w:line="360" w:lineRule="auto"/>
        <w:jc w:val="both"/>
        <w:rPr>
          <w:rFonts w:asciiTheme="majorHAnsi" w:eastAsia="Times New Roman" w:hAnsiTheme="majorHAnsi" w:cstheme="majorHAnsi"/>
          <w:lang w:eastAsia="en-GB"/>
        </w:rPr>
      </w:pPr>
      <w:r w:rsidRPr="008D3DBB">
        <w:rPr>
          <w:rFonts w:asciiTheme="majorHAnsi" w:eastAsia="Times New Roman" w:hAnsiTheme="majorHAnsi" w:cstheme="majorHAnsi"/>
          <w:lang w:eastAsia="en-GB"/>
        </w:rPr>
        <w:t xml:space="preserve">Building on insights from </w:t>
      </w:r>
      <w:proofErr w:type="spellStart"/>
      <w:r w:rsidRPr="008D3DBB">
        <w:rPr>
          <w:rFonts w:asciiTheme="majorHAnsi" w:eastAsia="Times New Roman" w:hAnsiTheme="majorHAnsi" w:cstheme="majorHAnsi"/>
          <w:lang w:eastAsia="en-GB"/>
        </w:rPr>
        <w:t>Harasztosi</w:t>
      </w:r>
      <w:proofErr w:type="spellEnd"/>
      <w:r w:rsidRPr="008D3DBB">
        <w:rPr>
          <w:rFonts w:asciiTheme="majorHAnsi" w:eastAsia="Times New Roman" w:hAnsiTheme="majorHAnsi" w:cstheme="majorHAnsi"/>
          <w:lang w:eastAsia="en-GB"/>
        </w:rPr>
        <w:t xml:space="preserve"> and Lindner (2019) and employing the fraction of workers per firm affected by minimum wages as our evaluative metric, we dissect the ramifications of a substantial 50% real minimum wage increase in 2013 within South Africa's agricultural sector. Preliminary findings highlight wage </w:t>
      </w:r>
      <w:r w:rsidRPr="008D3DBB">
        <w:rPr>
          <w:rFonts w:asciiTheme="majorHAnsi" w:eastAsia="Times New Roman" w:hAnsiTheme="majorHAnsi" w:cstheme="majorHAnsi"/>
          <w:lang w:eastAsia="en-GB"/>
        </w:rPr>
        <w:lastRenderedPageBreak/>
        <w:t xml:space="preserve">inflation, significant reductions in employment, yet paradoxically, no discernible impact on revenue and profit metrics for lower-wage farms, suggesting the possibility of increased </w:t>
      </w:r>
      <w:proofErr w:type="spellStart"/>
      <w:r w:rsidRPr="008D3DBB">
        <w:rPr>
          <w:rFonts w:asciiTheme="majorHAnsi" w:eastAsia="Times New Roman" w:hAnsiTheme="majorHAnsi" w:cstheme="majorHAnsi"/>
          <w:lang w:eastAsia="en-GB"/>
        </w:rPr>
        <w:t>labor</w:t>
      </w:r>
      <w:proofErr w:type="spellEnd"/>
      <w:r w:rsidRPr="008D3DBB">
        <w:rPr>
          <w:rFonts w:asciiTheme="majorHAnsi" w:eastAsia="Times New Roman" w:hAnsiTheme="majorHAnsi" w:cstheme="majorHAnsi"/>
          <w:lang w:eastAsia="en-GB"/>
        </w:rPr>
        <w:t xml:space="preserve"> productivity.</w:t>
      </w:r>
    </w:p>
    <w:p w14:paraId="3148CC90" w14:textId="77777777" w:rsidR="008D3DBB" w:rsidRPr="008D3DBB" w:rsidRDefault="008D3DBB" w:rsidP="004F2C1B">
      <w:pPr>
        <w:spacing w:before="100" w:beforeAutospacing="1" w:after="100" w:afterAutospacing="1" w:line="360" w:lineRule="auto"/>
        <w:jc w:val="both"/>
        <w:rPr>
          <w:rFonts w:asciiTheme="majorHAnsi" w:eastAsiaTheme="minorHAnsi" w:hAnsiTheme="majorHAnsi" w:cstheme="majorHAnsi"/>
          <w:b/>
          <w:bCs/>
          <w:lang w:val="en-US"/>
        </w:rPr>
      </w:pPr>
      <w:r w:rsidRPr="008D3DBB">
        <w:rPr>
          <w:rFonts w:asciiTheme="majorHAnsi" w:eastAsia="Times New Roman" w:hAnsiTheme="majorHAnsi" w:cstheme="majorHAnsi"/>
          <w:lang w:eastAsia="en-GB"/>
        </w:rPr>
        <w:t>The subsequent sections are organized as follows: Section 2 provides the background of the study; Section 3 reviews relevant theoretical and empirical literature; Section 4 outlines our identification strategy; Section 5 presents an overview of our data sources and offers summary statistics; Sections 6 and 7 present our key findings and robustness tests, respectively; and Section 8 concludes the study.</w:t>
      </w:r>
    </w:p>
    <w:p w14:paraId="22144757" w14:textId="112E1E30" w:rsidR="00E06124" w:rsidRPr="00C86818" w:rsidRDefault="00E06124" w:rsidP="008D3DBB">
      <w:pPr>
        <w:pStyle w:val="ListParagraph"/>
        <w:numPr>
          <w:ilvl w:val="0"/>
          <w:numId w:val="17"/>
        </w:numPr>
        <w:spacing w:before="100" w:beforeAutospacing="1" w:after="100" w:afterAutospacing="1" w:line="360" w:lineRule="auto"/>
        <w:jc w:val="both"/>
        <w:rPr>
          <w:rFonts w:asciiTheme="majorHAnsi" w:hAnsiTheme="majorHAnsi" w:cstheme="majorHAnsi"/>
          <w:b/>
          <w:bCs/>
          <w:lang w:val="en-US"/>
        </w:rPr>
      </w:pPr>
      <w:r w:rsidRPr="00C86818">
        <w:rPr>
          <w:rFonts w:asciiTheme="majorHAnsi" w:hAnsiTheme="majorHAnsi" w:cstheme="majorHAnsi"/>
          <w:b/>
          <w:bCs/>
          <w:lang w:val="en-US"/>
        </w:rPr>
        <w:t>Background</w:t>
      </w:r>
    </w:p>
    <w:p w14:paraId="61433174" w14:textId="2FFF9DAC" w:rsidR="00E44372" w:rsidRPr="00E44372" w:rsidRDefault="00E44372" w:rsidP="004F2C1B">
      <w:pPr>
        <w:spacing w:before="100" w:beforeAutospacing="1" w:after="100" w:afterAutospacing="1" w:line="360" w:lineRule="auto"/>
        <w:jc w:val="both"/>
        <w:rPr>
          <w:rFonts w:asciiTheme="majorHAnsi" w:eastAsia="Times New Roman" w:hAnsiTheme="majorHAnsi" w:cstheme="majorHAnsi"/>
          <w:lang w:eastAsia="en-GB"/>
        </w:rPr>
      </w:pPr>
      <w:r w:rsidRPr="00E44372">
        <w:rPr>
          <w:rFonts w:asciiTheme="majorHAnsi" w:eastAsia="Times New Roman" w:hAnsiTheme="majorHAnsi" w:cstheme="majorHAnsi"/>
          <w:lang w:eastAsia="en-GB"/>
        </w:rPr>
        <w:t>Prior to the implementation of a National Minimum Wage in 2019, South Africa's wage regulations followed a sectoral approach. Specifically, Sectorial Determinations 8 and 13 governed wage floors and broader employment conditions within the agricultural sector. These agricultural minimum wages were initially introduced in 2003 and were subject to annual adjustments in line with inflation rates. However, a significant transformation occurred after 2012, driven by farmworker strikes, primarily in the Western Cape region. Effective March 1, 2013, the daily minimum wage increased from ZAR 70 to ZAR 105. This substantial rise provides a fertile context for examining the consequences of wage increases, and we exploit this shift to investigate its ripple effects on various firm-level indicators.</w:t>
      </w:r>
    </w:p>
    <w:p w14:paraId="392793EB" w14:textId="3410D497" w:rsidR="00E44372" w:rsidRPr="00E44372" w:rsidRDefault="00E44372" w:rsidP="004F2C1B">
      <w:pPr>
        <w:spacing w:before="100" w:beforeAutospacing="1" w:after="100" w:afterAutospacing="1" w:line="360" w:lineRule="auto"/>
        <w:jc w:val="both"/>
        <w:rPr>
          <w:rFonts w:asciiTheme="majorHAnsi" w:eastAsiaTheme="minorHAnsi" w:hAnsiTheme="majorHAnsi" w:cstheme="majorHAnsi"/>
          <w:b/>
          <w:bCs/>
          <w:lang w:val="en-US"/>
        </w:rPr>
      </w:pPr>
      <w:r w:rsidRPr="00E44372">
        <w:rPr>
          <w:rFonts w:asciiTheme="majorHAnsi" w:eastAsia="Times New Roman" w:hAnsiTheme="majorHAnsi" w:cstheme="majorHAnsi"/>
          <w:lang w:eastAsia="en-GB"/>
        </w:rPr>
        <w:t>On the supply side, previous studies have examined the employment implications of the 2013 wage hike, revealing noticeable trends of reduced employment (</w:t>
      </w:r>
      <w:proofErr w:type="spellStart"/>
      <w:r w:rsidRPr="00E44372">
        <w:rPr>
          <w:rFonts w:asciiTheme="majorHAnsi" w:eastAsia="Times New Roman" w:hAnsiTheme="majorHAnsi" w:cstheme="majorHAnsi"/>
          <w:lang w:eastAsia="en-GB"/>
        </w:rPr>
        <w:t>Bhorat</w:t>
      </w:r>
      <w:proofErr w:type="spellEnd"/>
      <w:r w:rsidRPr="00E44372">
        <w:rPr>
          <w:rFonts w:asciiTheme="majorHAnsi" w:eastAsia="Times New Roman" w:hAnsiTheme="majorHAnsi" w:cstheme="majorHAnsi"/>
          <w:lang w:eastAsia="en-GB"/>
        </w:rPr>
        <w:t xml:space="preserve"> et al., 2014; Garbers et al., 2015; van der Zee, 2017; Piek &amp; von Fintel, 2019, Piek et al., 2020). However, the scarcity of firm-specific data in South Africa has limited exploration into the demand-side analysis. A lone study addressing this aspect suggests that the 2013 wage increase led to significant increases in </w:t>
      </w:r>
      <w:r w:rsidR="004D59AE" w:rsidRPr="00E44372">
        <w:rPr>
          <w:rFonts w:asciiTheme="majorHAnsi" w:eastAsia="Times New Roman" w:hAnsiTheme="majorHAnsi" w:cstheme="majorHAnsi"/>
          <w:lang w:eastAsia="en-GB"/>
        </w:rPr>
        <w:t>labour</w:t>
      </w:r>
      <w:r w:rsidRPr="00E44372">
        <w:rPr>
          <w:rFonts w:asciiTheme="majorHAnsi" w:eastAsia="Times New Roman" w:hAnsiTheme="majorHAnsi" w:cstheme="majorHAnsi"/>
          <w:lang w:eastAsia="en-GB"/>
        </w:rPr>
        <w:t xml:space="preserve"> costs, with consequential effects spreading across firms intertwined in agricultural supply chains (Tan, 2021). This inquiry distinguishes itself as the first </w:t>
      </w:r>
      <w:r w:rsidR="004D59AE" w:rsidRPr="00E44372">
        <w:rPr>
          <w:rFonts w:asciiTheme="majorHAnsi" w:eastAsia="Times New Roman" w:hAnsiTheme="majorHAnsi" w:cstheme="majorHAnsi"/>
          <w:lang w:eastAsia="en-GB"/>
        </w:rPr>
        <w:t>endeavour</w:t>
      </w:r>
      <w:r w:rsidRPr="00E44372">
        <w:rPr>
          <w:rFonts w:asciiTheme="majorHAnsi" w:eastAsia="Times New Roman" w:hAnsiTheme="majorHAnsi" w:cstheme="majorHAnsi"/>
          <w:lang w:eastAsia="en-GB"/>
        </w:rPr>
        <w:t xml:space="preserve"> to unravel the multifaceted strategies adopted by farmers in response to the wage augmentation.</w:t>
      </w:r>
    </w:p>
    <w:p w14:paraId="40BE45A9" w14:textId="372C4A35" w:rsidR="00E06124" w:rsidRPr="00CF21D5" w:rsidRDefault="00E06124" w:rsidP="00E44372">
      <w:pPr>
        <w:pStyle w:val="ListParagraph"/>
        <w:numPr>
          <w:ilvl w:val="0"/>
          <w:numId w:val="17"/>
        </w:numPr>
        <w:spacing w:before="100" w:beforeAutospacing="1" w:after="100" w:afterAutospacing="1" w:line="360" w:lineRule="auto"/>
        <w:jc w:val="both"/>
        <w:rPr>
          <w:rFonts w:asciiTheme="majorHAnsi" w:hAnsiTheme="majorHAnsi" w:cstheme="majorHAnsi"/>
          <w:b/>
          <w:bCs/>
          <w:lang w:val="en-US"/>
        </w:rPr>
      </w:pPr>
      <w:r w:rsidRPr="00CF21D5">
        <w:rPr>
          <w:rFonts w:asciiTheme="majorHAnsi" w:hAnsiTheme="majorHAnsi" w:cstheme="majorHAnsi"/>
          <w:b/>
          <w:bCs/>
          <w:lang w:val="en-US"/>
        </w:rPr>
        <w:t>Theory and evidence on minimum wage adjustment channels</w:t>
      </w:r>
    </w:p>
    <w:p w14:paraId="7C049CDD" w14:textId="44BDFA96" w:rsidR="004D59AE" w:rsidRDefault="004D59AE" w:rsidP="004F2C1B">
      <w:pPr>
        <w:spacing w:line="360" w:lineRule="auto"/>
        <w:jc w:val="both"/>
        <w:rPr>
          <w:rFonts w:asciiTheme="majorHAnsi" w:eastAsia="Times New Roman" w:hAnsiTheme="majorHAnsi" w:cstheme="majorHAnsi"/>
          <w:lang w:eastAsia="en-GB"/>
        </w:rPr>
      </w:pPr>
      <w:r w:rsidRPr="004D59AE">
        <w:rPr>
          <w:rFonts w:asciiTheme="majorHAnsi" w:eastAsia="Times New Roman" w:hAnsiTheme="majorHAnsi" w:cstheme="majorHAnsi"/>
          <w:lang w:eastAsia="en-GB"/>
        </w:rPr>
        <w:t xml:space="preserve">A spectrum of theoretical frameworks provides valuable insights into the intricate relationship between minimum wages and firm behaviour, shedding light on various labour market assumptions and their corresponding predictions. Key among these are the neoclassical competitive model, the monopsony model, institutional perspectives, and search-theoretic models (Bhaskar and To, 1999; Herr et al., 2009; </w:t>
      </w:r>
      <w:r w:rsidRPr="004D59AE">
        <w:rPr>
          <w:rFonts w:asciiTheme="majorHAnsi" w:eastAsia="Times New Roman" w:hAnsiTheme="majorHAnsi" w:cstheme="majorHAnsi"/>
          <w:lang w:eastAsia="en-GB"/>
        </w:rPr>
        <w:lastRenderedPageBreak/>
        <w:t>Schmitt, 2013; Gorry, 2013). These frameworks illuminate diverse strategies that firms may employ in response to a binding minimum wage, including adjustments in employment levels, reductions in non-labour costs, enhancements in efficiency, or potential price increases for their end-products. It is important to note that the effectiveness of these mechanisms is contingent on robust legislative enforcement, as weak monitoring or reluctance to pass on cost increases to consumers can mitigate these effects (</w:t>
      </w:r>
      <w:proofErr w:type="spellStart"/>
      <w:r w:rsidRPr="004D59AE">
        <w:rPr>
          <w:rFonts w:asciiTheme="majorHAnsi" w:eastAsia="Times New Roman" w:hAnsiTheme="majorHAnsi" w:cstheme="majorHAnsi"/>
          <w:lang w:eastAsia="en-GB"/>
        </w:rPr>
        <w:t>Bhorat</w:t>
      </w:r>
      <w:proofErr w:type="spellEnd"/>
      <w:r w:rsidRPr="004D59AE">
        <w:rPr>
          <w:rFonts w:asciiTheme="majorHAnsi" w:eastAsia="Times New Roman" w:hAnsiTheme="majorHAnsi" w:cstheme="majorHAnsi"/>
          <w:lang w:eastAsia="en-GB"/>
        </w:rPr>
        <w:t xml:space="preserve"> et al., 2017; </w:t>
      </w:r>
      <w:proofErr w:type="spellStart"/>
      <w:r w:rsidRPr="004D59AE">
        <w:rPr>
          <w:rFonts w:asciiTheme="majorHAnsi" w:eastAsia="Times New Roman" w:hAnsiTheme="majorHAnsi" w:cstheme="majorHAnsi"/>
          <w:lang w:eastAsia="en-GB"/>
        </w:rPr>
        <w:t>Goraus-Tanska</w:t>
      </w:r>
      <w:proofErr w:type="spellEnd"/>
      <w:r w:rsidRPr="004D59AE">
        <w:rPr>
          <w:rFonts w:asciiTheme="majorHAnsi" w:eastAsia="Times New Roman" w:hAnsiTheme="majorHAnsi" w:cstheme="majorHAnsi"/>
          <w:lang w:eastAsia="en-GB"/>
        </w:rPr>
        <w:t xml:space="preserve"> and Lewandowski, 2019; Weil, 2005).</w:t>
      </w:r>
    </w:p>
    <w:p w14:paraId="60C766D4" w14:textId="77777777" w:rsidR="004D59AE" w:rsidRPr="004D59AE" w:rsidRDefault="004D59AE" w:rsidP="004F2C1B">
      <w:pPr>
        <w:spacing w:line="360" w:lineRule="auto"/>
        <w:jc w:val="both"/>
        <w:rPr>
          <w:rFonts w:asciiTheme="majorHAnsi" w:eastAsia="Times New Roman" w:hAnsiTheme="majorHAnsi" w:cstheme="majorHAnsi"/>
          <w:lang w:eastAsia="en-GB"/>
        </w:rPr>
      </w:pPr>
    </w:p>
    <w:p w14:paraId="5802CEAF" w14:textId="5FB681B7" w:rsidR="004D59AE" w:rsidRPr="004D59AE" w:rsidRDefault="004D59AE" w:rsidP="004F2C1B">
      <w:pPr>
        <w:spacing w:line="360" w:lineRule="auto"/>
        <w:jc w:val="both"/>
        <w:rPr>
          <w:rFonts w:asciiTheme="majorHAnsi" w:eastAsia="Times New Roman" w:hAnsiTheme="majorHAnsi" w:cstheme="majorHAnsi"/>
          <w:lang w:eastAsia="en-GB"/>
        </w:rPr>
      </w:pPr>
      <w:r w:rsidRPr="004D59AE">
        <w:rPr>
          <w:rFonts w:asciiTheme="majorHAnsi" w:eastAsia="Times New Roman" w:hAnsiTheme="majorHAnsi" w:cstheme="majorHAnsi"/>
          <w:lang w:eastAsia="en-GB"/>
        </w:rPr>
        <w:t>The neoclassical competitive perspective envisions a frictionless labour market where minimum wage increases typically lead to reductions in employment, among other possible responses (Lester 1960, Hirsch et al. 2015, among others). These responses may encompass not only workforce reductions but also adjustments in working hours, reductions in non-wage benefits, or decreased investments in training for less skilled labour. Under fixed output prices, firms may transmit adjustments in prices, contingent on the elasticity of their products, with non-tradable sector entities having more flexibility in this regard compared to those exposed to global competition.</w:t>
      </w:r>
    </w:p>
    <w:p w14:paraId="7EBFE7E9" w14:textId="77777777" w:rsidR="004D59AE" w:rsidRPr="004D59AE" w:rsidRDefault="004D59AE" w:rsidP="004F2C1B">
      <w:pPr>
        <w:spacing w:line="360" w:lineRule="auto"/>
        <w:ind w:left="-360"/>
        <w:jc w:val="both"/>
        <w:rPr>
          <w:rFonts w:asciiTheme="majorHAnsi" w:eastAsia="Times New Roman" w:hAnsiTheme="majorHAnsi" w:cstheme="majorHAnsi"/>
          <w:lang w:eastAsia="en-GB"/>
        </w:rPr>
      </w:pPr>
    </w:p>
    <w:p w14:paraId="246BCD70" w14:textId="35D2CED2" w:rsidR="004D59AE" w:rsidRDefault="004D59AE" w:rsidP="004F2C1B">
      <w:pPr>
        <w:spacing w:line="360" w:lineRule="auto"/>
        <w:jc w:val="both"/>
        <w:rPr>
          <w:rFonts w:asciiTheme="majorHAnsi" w:eastAsia="Times New Roman" w:hAnsiTheme="majorHAnsi" w:cstheme="majorHAnsi"/>
          <w:lang w:eastAsia="en-GB"/>
        </w:rPr>
      </w:pPr>
      <w:r w:rsidRPr="004D59AE">
        <w:rPr>
          <w:rFonts w:asciiTheme="majorHAnsi" w:eastAsia="Times New Roman" w:hAnsiTheme="majorHAnsi" w:cstheme="majorHAnsi"/>
          <w:lang w:eastAsia="en-GB"/>
        </w:rPr>
        <w:t>In contrast, search and monopsony models, grounded in market imperfections, offer a more nuanced view (Cahuc 2014, Flinn 2006, Ashenfelter et al., 2010, among others). These models depict scenarios where minimum wages could stimulate employment through increased job searches or by altering a firm's upward-sloping labour supply curve.</w:t>
      </w:r>
    </w:p>
    <w:p w14:paraId="2361BDA3" w14:textId="77777777" w:rsidR="004D59AE" w:rsidRPr="004D59AE" w:rsidRDefault="004D59AE" w:rsidP="004F2C1B">
      <w:pPr>
        <w:spacing w:line="360" w:lineRule="auto"/>
        <w:jc w:val="both"/>
        <w:rPr>
          <w:rFonts w:asciiTheme="majorHAnsi" w:eastAsia="Times New Roman" w:hAnsiTheme="majorHAnsi" w:cstheme="majorHAnsi"/>
          <w:lang w:eastAsia="en-GB"/>
        </w:rPr>
      </w:pPr>
    </w:p>
    <w:p w14:paraId="56B5165B" w14:textId="77777777" w:rsidR="004D59AE" w:rsidRPr="004D59AE" w:rsidRDefault="004D59AE" w:rsidP="004F2C1B">
      <w:pPr>
        <w:spacing w:line="360" w:lineRule="auto"/>
        <w:jc w:val="both"/>
        <w:rPr>
          <w:rFonts w:asciiTheme="majorHAnsi" w:eastAsia="Times New Roman" w:hAnsiTheme="majorHAnsi" w:cstheme="majorHAnsi"/>
          <w:lang w:eastAsia="en-GB"/>
        </w:rPr>
      </w:pPr>
      <w:r w:rsidRPr="004D59AE">
        <w:rPr>
          <w:rFonts w:asciiTheme="majorHAnsi" w:eastAsia="Times New Roman" w:hAnsiTheme="majorHAnsi" w:cstheme="majorHAnsi"/>
          <w:lang w:eastAsia="en-GB"/>
        </w:rPr>
        <w:t>The institutional model, distinct from the neoclassical framework, allows for the possibility of enhanced economic efficiency (Kaufman 2010, Hirsch et al. 2015, among others). Firms, under this paradigm, may offset higher wage costs through efficiency gains, which could include more flexible work arrangements, increased effort levels, or intensified worker training.</w:t>
      </w:r>
    </w:p>
    <w:p w14:paraId="7C2784A3" w14:textId="77777777" w:rsidR="004D59AE" w:rsidRPr="004D59AE" w:rsidRDefault="004D59AE" w:rsidP="004F2C1B">
      <w:pPr>
        <w:spacing w:line="360" w:lineRule="auto"/>
        <w:ind w:left="-360"/>
        <w:jc w:val="both"/>
        <w:rPr>
          <w:rFonts w:asciiTheme="majorHAnsi" w:eastAsia="Times New Roman" w:hAnsiTheme="majorHAnsi" w:cstheme="majorHAnsi"/>
          <w:lang w:eastAsia="en-GB"/>
        </w:rPr>
      </w:pPr>
    </w:p>
    <w:p w14:paraId="25EB9F3F" w14:textId="2B5FCCF3" w:rsidR="004D59AE" w:rsidRDefault="004D59AE" w:rsidP="004F2C1B">
      <w:pPr>
        <w:spacing w:line="360" w:lineRule="auto"/>
        <w:jc w:val="both"/>
        <w:rPr>
          <w:rFonts w:asciiTheme="majorHAnsi" w:eastAsia="Times New Roman" w:hAnsiTheme="majorHAnsi" w:cstheme="majorHAnsi"/>
          <w:lang w:eastAsia="en-GB"/>
        </w:rPr>
      </w:pPr>
      <w:r w:rsidRPr="004D59AE">
        <w:rPr>
          <w:rFonts w:asciiTheme="majorHAnsi" w:eastAsia="Times New Roman" w:hAnsiTheme="majorHAnsi" w:cstheme="majorHAnsi"/>
          <w:lang w:eastAsia="en-GB"/>
        </w:rPr>
        <w:t xml:space="preserve">Empirically, the impact on employment remains a subject of ongoing debate. While Geide-Stevenson and Perez's (2022) study suggests a declining consensus regarding negative employment effects, more recent research underscores adverse implications, particularly for less skilled </w:t>
      </w:r>
      <w:proofErr w:type="spellStart"/>
      <w:r w:rsidRPr="004D59AE">
        <w:rPr>
          <w:rFonts w:asciiTheme="majorHAnsi" w:eastAsia="Times New Roman" w:hAnsiTheme="majorHAnsi" w:cstheme="majorHAnsi"/>
          <w:lang w:eastAsia="en-GB"/>
        </w:rPr>
        <w:t>labor</w:t>
      </w:r>
      <w:proofErr w:type="spellEnd"/>
      <w:r w:rsidRPr="004D59AE">
        <w:rPr>
          <w:rFonts w:asciiTheme="majorHAnsi" w:eastAsia="Times New Roman" w:hAnsiTheme="majorHAnsi" w:cstheme="majorHAnsi"/>
          <w:lang w:eastAsia="en-GB"/>
        </w:rPr>
        <w:t xml:space="preserve"> (Neumark &amp; Washer, 2006; Neumark et al., 2014). Evidence on price pass-through is bolstered by works such as Wadsworth (2010) and </w:t>
      </w:r>
      <w:proofErr w:type="spellStart"/>
      <w:r w:rsidRPr="004D59AE">
        <w:rPr>
          <w:rFonts w:asciiTheme="majorHAnsi" w:eastAsia="Times New Roman" w:hAnsiTheme="majorHAnsi" w:cstheme="majorHAnsi"/>
          <w:lang w:eastAsia="en-GB"/>
        </w:rPr>
        <w:t>Harasztsosi</w:t>
      </w:r>
      <w:proofErr w:type="spellEnd"/>
      <w:r w:rsidRPr="004D59AE">
        <w:rPr>
          <w:rFonts w:asciiTheme="majorHAnsi" w:eastAsia="Times New Roman" w:hAnsiTheme="majorHAnsi" w:cstheme="majorHAnsi"/>
          <w:lang w:eastAsia="en-GB"/>
        </w:rPr>
        <w:t xml:space="preserve"> and Lindner (2019), with the latter revealing a robust 75% pass-through rate. Studies like Card and Krueger (1995) and Hirsch et al. (2015) reaffirm these inflationary tendencies.</w:t>
      </w:r>
    </w:p>
    <w:p w14:paraId="7CA65D2F" w14:textId="77777777" w:rsidR="004D59AE" w:rsidRPr="004D59AE" w:rsidRDefault="004D59AE" w:rsidP="004F2C1B">
      <w:pPr>
        <w:spacing w:line="360" w:lineRule="auto"/>
        <w:jc w:val="both"/>
        <w:rPr>
          <w:rFonts w:asciiTheme="majorHAnsi" w:eastAsia="Times New Roman" w:hAnsiTheme="majorHAnsi" w:cstheme="majorHAnsi"/>
          <w:lang w:eastAsia="en-GB"/>
        </w:rPr>
      </w:pPr>
    </w:p>
    <w:p w14:paraId="1C6F8C71" w14:textId="308E186A" w:rsidR="004D59AE" w:rsidRDefault="004D59AE" w:rsidP="004F2C1B">
      <w:pPr>
        <w:spacing w:line="360" w:lineRule="auto"/>
        <w:jc w:val="both"/>
        <w:rPr>
          <w:rFonts w:asciiTheme="majorHAnsi" w:eastAsia="Times New Roman" w:hAnsiTheme="majorHAnsi" w:cstheme="majorHAnsi"/>
          <w:lang w:eastAsia="en-GB"/>
        </w:rPr>
      </w:pPr>
      <w:r w:rsidRPr="004D59AE">
        <w:rPr>
          <w:rFonts w:asciiTheme="majorHAnsi" w:eastAsia="Times New Roman" w:hAnsiTheme="majorHAnsi" w:cstheme="majorHAnsi"/>
          <w:lang w:eastAsia="en-GB"/>
        </w:rPr>
        <w:lastRenderedPageBreak/>
        <w:t xml:space="preserve">Conversely, the relationship between minimum wages and productivity remains a topic of divergence. While earlier assessments, such as Acemoglu and Pischke (2003), found limited productivity impacts, more recent evaluations, including Hirsch et al. (2015) and Riley and </w:t>
      </w:r>
      <w:proofErr w:type="spellStart"/>
      <w:r w:rsidRPr="004D59AE">
        <w:rPr>
          <w:rFonts w:asciiTheme="majorHAnsi" w:eastAsia="Times New Roman" w:hAnsiTheme="majorHAnsi" w:cstheme="majorHAnsi"/>
          <w:lang w:eastAsia="en-GB"/>
        </w:rPr>
        <w:t>Bondebene</w:t>
      </w:r>
      <w:proofErr w:type="spellEnd"/>
      <w:r w:rsidRPr="004D59AE">
        <w:rPr>
          <w:rFonts w:asciiTheme="majorHAnsi" w:eastAsia="Times New Roman" w:hAnsiTheme="majorHAnsi" w:cstheme="majorHAnsi"/>
          <w:lang w:eastAsia="en-GB"/>
        </w:rPr>
        <w:t xml:space="preserve"> (2015), highlight increases in productivity.</w:t>
      </w:r>
    </w:p>
    <w:p w14:paraId="6655437F" w14:textId="77777777" w:rsidR="004D59AE" w:rsidRPr="004D59AE" w:rsidRDefault="004D59AE" w:rsidP="004F2C1B">
      <w:pPr>
        <w:spacing w:line="360" w:lineRule="auto"/>
        <w:jc w:val="both"/>
        <w:rPr>
          <w:rFonts w:asciiTheme="majorHAnsi" w:eastAsia="Times New Roman" w:hAnsiTheme="majorHAnsi" w:cstheme="majorHAnsi"/>
          <w:lang w:eastAsia="en-GB"/>
        </w:rPr>
      </w:pPr>
    </w:p>
    <w:p w14:paraId="1F100C5B" w14:textId="113D2E91" w:rsidR="004D59AE" w:rsidRDefault="004D59AE" w:rsidP="004F2C1B">
      <w:pPr>
        <w:spacing w:line="360" w:lineRule="auto"/>
        <w:jc w:val="both"/>
        <w:rPr>
          <w:rFonts w:asciiTheme="majorHAnsi" w:eastAsia="Times New Roman" w:hAnsiTheme="majorHAnsi" w:cstheme="majorHAnsi"/>
          <w:lang w:eastAsia="en-GB"/>
        </w:rPr>
      </w:pPr>
      <w:r w:rsidRPr="004D59AE">
        <w:rPr>
          <w:rFonts w:asciiTheme="majorHAnsi" w:eastAsia="Times New Roman" w:hAnsiTheme="majorHAnsi" w:cstheme="majorHAnsi"/>
          <w:lang w:eastAsia="en-GB"/>
        </w:rPr>
        <w:t xml:space="preserve">Lastly, the adverse consequences on revenues and profitability can be potentially existential if firms are unable to adjust effectively. Although empirical literature on profitability is limited, it suggests that profit declines can jeopardize firm viability, as exemplified by </w:t>
      </w:r>
      <w:proofErr w:type="spellStart"/>
      <w:r w:rsidRPr="004D59AE">
        <w:rPr>
          <w:rFonts w:asciiTheme="majorHAnsi" w:eastAsia="Times New Roman" w:hAnsiTheme="majorHAnsi" w:cstheme="majorHAnsi"/>
          <w:lang w:eastAsia="en-GB"/>
        </w:rPr>
        <w:t>Draca</w:t>
      </w:r>
      <w:proofErr w:type="spellEnd"/>
      <w:r w:rsidRPr="004D59AE">
        <w:rPr>
          <w:rFonts w:asciiTheme="majorHAnsi" w:eastAsia="Times New Roman" w:hAnsiTheme="majorHAnsi" w:cstheme="majorHAnsi"/>
          <w:lang w:eastAsia="en-GB"/>
        </w:rPr>
        <w:t>, Machin, and van Reenen (2011) and Luca and Luca (2019)</w:t>
      </w:r>
      <w:r>
        <w:rPr>
          <w:rFonts w:asciiTheme="majorHAnsi" w:eastAsia="Times New Roman" w:hAnsiTheme="majorHAnsi" w:cstheme="majorHAnsi"/>
          <w:lang w:eastAsia="en-GB"/>
        </w:rPr>
        <w:t>.</w:t>
      </w:r>
    </w:p>
    <w:p w14:paraId="1774EE87" w14:textId="77777777" w:rsidR="004D59AE" w:rsidRPr="004D59AE" w:rsidRDefault="004D59AE" w:rsidP="004D59AE">
      <w:pPr>
        <w:spacing w:line="360" w:lineRule="auto"/>
        <w:ind w:left="360"/>
        <w:jc w:val="both"/>
        <w:rPr>
          <w:rFonts w:asciiTheme="majorHAnsi" w:eastAsiaTheme="minorHAnsi" w:hAnsiTheme="majorHAnsi" w:cstheme="majorHAnsi"/>
          <w:b/>
          <w:bCs/>
          <w:lang w:val="en-US"/>
        </w:rPr>
      </w:pPr>
    </w:p>
    <w:p w14:paraId="139ACA72" w14:textId="01907CCA" w:rsidR="00E06124" w:rsidRPr="00CF21D5" w:rsidRDefault="00E06124" w:rsidP="004D59AE">
      <w:pPr>
        <w:pStyle w:val="ListParagraph"/>
        <w:numPr>
          <w:ilvl w:val="0"/>
          <w:numId w:val="17"/>
        </w:numPr>
        <w:spacing w:line="360" w:lineRule="auto"/>
        <w:rPr>
          <w:rFonts w:asciiTheme="majorHAnsi" w:hAnsiTheme="majorHAnsi" w:cstheme="majorHAnsi"/>
          <w:b/>
          <w:bCs/>
          <w:lang w:val="en-US"/>
        </w:rPr>
      </w:pPr>
      <w:r w:rsidRPr="00CF21D5">
        <w:rPr>
          <w:rFonts w:asciiTheme="majorHAnsi" w:hAnsiTheme="majorHAnsi" w:cstheme="majorHAnsi"/>
          <w:b/>
          <w:bCs/>
          <w:lang w:val="en-US"/>
        </w:rPr>
        <w:t>Empirical strategy</w:t>
      </w:r>
    </w:p>
    <w:p w14:paraId="3F536242" w14:textId="378E6DE1" w:rsidR="00B106AA" w:rsidRPr="00CF21D5" w:rsidRDefault="00B106AA" w:rsidP="00CF21D5">
      <w:pPr>
        <w:spacing w:before="100" w:beforeAutospacing="1" w:after="100" w:afterAutospacing="1" w:line="360" w:lineRule="auto"/>
        <w:jc w:val="both"/>
        <w:rPr>
          <w:rFonts w:asciiTheme="majorHAnsi" w:eastAsia="Times New Roman" w:hAnsiTheme="majorHAnsi" w:cstheme="majorHAnsi"/>
          <w:lang w:eastAsia="en-GB"/>
        </w:rPr>
      </w:pPr>
      <w:r w:rsidRPr="00B106AA">
        <w:rPr>
          <w:rFonts w:asciiTheme="majorHAnsi" w:eastAsia="Times New Roman" w:hAnsiTheme="majorHAnsi" w:cstheme="majorHAnsi"/>
          <w:lang w:eastAsia="en-GB"/>
        </w:rPr>
        <w:t xml:space="preserve">To discern the effects of the minimum wage increase on agricultural enterprises, our empirical analysis employs a robust difference-in-differences framework, building upon the pioneering work of </w:t>
      </w:r>
      <w:proofErr w:type="spellStart"/>
      <w:r w:rsidRPr="00B106AA">
        <w:rPr>
          <w:rFonts w:asciiTheme="majorHAnsi" w:eastAsia="Times New Roman" w:hAnsiTheme="majorHAnsi" w:cstheme="majorHAnsi"/>
          <w:lang w:eastAsia="en-GB"/>
        </w:rPr>
        <w:t>Harasztsosi</w:t>
      </w:r>
      <w:proofErr w:type="spellEnd"/>
      <w:r w:rsidRPr="00B106AA">
        <w:rPr>
          <w:rFonts w:asciiTheme="majorHAnsi" w:eastAsia="Times New Roman" w:hAnsiTheme="majorHAnsi" w:cstheme="majorHAnsi"/>
          <w:lang w:eastAsia="en-GB"/>
        </w:rPr>
        <w:t xml:space="preserve"> and Lindner (2019). Our model is expressed as follows:</w:t>
      </w:r>
    </w:p>
    <w:p w14:paraId="42330050" w14:textId="77777777" w:rsidR="00E06124" w:rsidRPr="00CF21D5" w:rsidRDefault="0079196D" w:rsidP="00CF21D5">
      <w:pPr>
        <w:pStyle w:val="ListParagraph"/>
        <w:spacing w:before="100" w:beforeAutospacing="1" w:after="100" w:afterAutospacing="1" w:line="360" w:lineRule="auto"/>
        <w:jc w:val="both"/>
        <w:rPr>
          <w:rFonts w:asciiTheme="majorHAnsi" w:eastAsia="Times New Roman" w:hAnsiTheme="majorHAnsi" w:cstheme="majorHAnsi"/>
          <w:lang w:val="en-GB" w:eastAsia="en-GB"/>
        </w:rPr>
      </w:pPr>
      <m:oMath>
        <m:f>
          <m:fPr>
            <m:ctrlPr>
              <w:rPr>
                <w:rFonts w:ascii="Cambria Math" w:eastAsia="Times New Roman" w:hAnsi="Cambria Math" w:cstheme="majorHAnsi"/>
                <w:i/>
              </w:rPr>
            </m:ctrlPr>
          </m:fPr>
          <m:num>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m:t>
                </m:r>
                <m:r>
                  <w:rPr>
                    <w:rFonts w:ascii="Cambria Math" w:eastAsia="Times New Roman" w:hAnsi="Cambria Math" w:cstheme="majorHAnsi"/>
                    <w:lang w:val="en-GB" w:eastAsia="en-GB"/>
                  </w:rPr>
                  <m:t>2013</m:t>
                </m:r>
              </m:sub>
            </m:sSub>
          </m:num>
          <m:den>
            <m:sSub>
              <m:sSubPr>
                <m:ctrlPr>
                  <w:rPr>
                    <w:rFonts w:ascii="Cambria Math" w:eastAsia="Times New Roman" w:hAnsi="Cambria Math" w:cstheme="majorHAnsi"/>
                    <w:i/>
                  </w:rPr>
                </m:ctrlPr>
              </m:sSubPr>
              <m:e>
                <m:r>
                  <w:rPr>
                    <w:rFonts w:ascii="Cambria Math" w:eastAsia="Times New Roman" w:hAnsi="Cambria Math" w:cstheme="majorHAnsi"/>
                    <w:lang w:val="en-GB" w:eastAsia="en-GB"/>
                  </w:rPr>
                  <m:t>y</m:t>
                </m:r>
              </m:e>
              <m:sub>
                <m:r>
                  <w:rPr>
                    <w:rFonts w:ascii="Cambria Math" w:eastAsia="Times New Roman" w:hAnsi="Cambria Math" w:cstheme="majorHAnsi"/>
                    <w:lang w:val="en-GB" w:eastAsia="en-GB"/>
                  </w:rPr>
                  <m:t>i</m:t>
                </m:r>
                <m:r>
                  <w:rPr>
                    <w:rFonts w:ascii="Cambria Math" w:eastAsia="Times New Roman" w:hAnsi="Cambria Math" w:cstheme="majorHAnsi"/>
                    <w:lang w:val="en-GB" w:eastAsia="en-GB"/>
                  </w:rPr>
                  <m:t>2013</m:t>
                </m:r>
              </m:sub>
            </m:sSub>
          </m:den>
        </m:f>
        <m:r>
          <w:rPr>
            <w:rFonts w:ascii="Cambria Math" w:eastAsia="Times New Roman" w:hAnsi="Cambria Math" w:cstheme="majorHAnsi"/>
            <w:lang w:val="en-GB" w:eastAsia="en-GB"/>
          </w:rPr>
          <m:t xml:space="preserve">= </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α</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β</m:t>
            </m:r>
          </m:e>
          <m:sub>
            <m:r>
              <w:rPr>
                <w:rFonts w:ascii="Cambria Math" w:eastAsia="Times New Roman" w:hAnsi="Cambria Math" w:cstheme="majorHAnsi"/>
                <w:lang w:val="en-GB" w:eastAsia="en-GB"/>
              </w:rPr>
              <m:t>t</m:t>
            </m:r>
          </m:sub>
        </m:sSub>
        <m:r>
          <w:rPr>
            <w:rFonts w:ascii="Cambria Math" w:eastAsia="Times New Roman" w:hAnsi="Cambria Math" w:cstheme="majorHAnsi"/>
            <w:lang w:val="en-GB" w:eastAsia="en-GB"/>
          </w:rPr>
          <m:t>FA</m:t>
        </m:r>
        <m:r>
          <w:rPr>
            <w:rFonts w:ascii="Cambria Math" w:eastAsia="Times New Roman" w:hAnsi="Cambria Math" w:cstheme="majorHAnsi"/>
            <w:lang w:val="en-GB" w:eastAsia="en-GB"/>
          </w:rPr>
          <m:t>+</m:t>
        </m:r>
        <m:r>
          <w:rPr>
            <w:rFonts w:ascii="Cambria Math" w:eastAsia="Times New Roman" w:hAnsi="Cambria Math" w:cstheme="majorHAnsi"/>
          </w:rPr>
          <m:t>γ</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X</m:t>
            </m:r>
          </m:e>
          <m:sub>
            <m:r>
              <w:rPr>
                <w:rFonts w:ascii="Cambria Math" w:eastAsia="Times New Roman" w:hAnsi="Cambria Math" w:cstheme="majorHAnsi"/>
                <w:lang w:val="en-GB" w:eastAsia="en-GB"/>
              </w:rPr>
              <m:t>it</m:t>
            </m:r>
          </m:sub>
        </m:sSub>
        <m:r>
          <w:rPr>
            <w:rFonts w:ascii="Cambria Math" w:eastAsia="Times New Roman" w:hAnsi="Cambria Math" w:cstheme="majorHAnsi"/>
            <w:lang w:val="en-GB" w:eastAsia="en-GB"/>
          </w:rPr>
          <m:t>+</m:t>
        </m:r>
        <m:sSub>
          <m:sSubPr>
            <m:ctrlPr>
              <w:rPr>
                <w:rFonts w:ascii="Cambria Math" w:eastAsia="Times New Roman" w:hAnsi="Cambria Math" w:cstheme="majorHAnsi"/>
                <w:i/>
              </w:rPr>
            </m:ctrlPr>
          </m:sSubPr>
          <m:e>
            <m:r>
              <w:rPr>
                <w:rFonts w:ascii="Cambria Math" w:eastAsia="Times New Roman" w:hAnsi="Cambria Math" w:cstheme="majorHAnsi"/>
                <w:lang w:val="en-GB" w:eastAsia="en-GB"/>
              </w:rPr>
              <m:t>ε</m:t>
            </m:r>
          </m:e>
          <m:sub>
            <m:r>
              <w:rPr>
                <w:rFonts w:ascii="Cambria Math" w:eastAsia="Times New Roman" w:hAnsi="Cambria Math" w:cstheme="majorHAnsi"/>
                <w:lang w:val="en-GB" w:eastAsia="en-GB"/>
              </w:rPr>
              <m:t>it</m:t>
            </m:r>
          </m:sub>
        </m:sSub>
      </m:oMath>
      <w:r w:rsidR="00E06124" w:rsidRPr="00CF21D5">
        <w:rPr>
          <w:rFonts w:asciiTheme="majorHAnsi" w:eastAsia="Times New Roman" w:hAnsiTheme="majorHAnsi" w:cstheme="majorHAnsi"/>
          <w:lang w:val="en-GB" w:eastAsia="en-GB"/>
        </w:rPr>
        <w:t xml:space="preserve">                (1)           </w:t>
      </w:r>
    </w:p>
    <w:p w14:paraId="114F3DD7" w14:textId="77777777" w:rsidR="00B106AA" w:rsidRDefault="00B106AA" w:rsidP="00CF21D5">
      <w:pPr>
        <w:spacing w:before="100" w:beforeAutospacing="1" w:after="100" w:afterAutospacing="1" w:line="360" w:lineRule="auto"/>
        <w:jc w:val="both"/>
        <w:rPr>
          <w:rFonts w:asciiTheme="majorHAnsi" w:eastAsia="Times New Roman" w:hAnsiTheme="majorHAnsi" w:cstheme="majorHAnsi"/>
          <w:lang w:eastAsia="en-GB"/>
        </w:rPr>
      </w:pPr>
      <w:r w:rsidRPr="00B106AA">
        <w:rPr>
          <w:rFonts w:asciiTheme="majorHAnsi" w:eastAsia="Times New Roman" w:hAnsiTheme="majorHAnsi" w:cstheme="majorHAnsi"/>
          <w:lang w:eastAsia="en-GB"/>
        </w:rPr>
        <w:t>In this equation</w:t>
      </w:r>
      <w:r w:rsidR="00C41E36" w:rsidRPr="00C41E36">
        <w:rPr>
          <w:rFonts w:asciiTheme="majorHAnsi" w:eastAsia="Times New Roman" w:hAnsiTheme="majorHAnsi" w:cstheme="majorHAnsi"/>
          <w:lang w:eastAsia="en-GB"/>
        </w:rPr>
        <w:t xml:space="preserve">,  </w:t>
      </w:r>
      <m:oMath>
        <m:sSub>
          <m:sSubPr>
            <m:ctrlPr>
              <w:rPr>
                <w:rFonts w:ascii="Cambria Math" w:eastAsia="Times New Roman" w:hAnsi="Cambria Math" w:cstheme="majorHAnsi"/>
                <w:i/>
              </w:rPr>
            </m:ctrlPr>
          </m:sSubPr>
          <m:e>
            <m:r>
              <w:rPr>
                <w:rFonts w:ascii="Cambria Math" w:eastAsia="Times New Roman" w:hAnsi="Cambria Math" w:cstheme="majorHAnsi"/>
                <w:lang w:eastAsia="en-GB"/>
              </w:rPr>
              <m:t>y</m:t>
            </m:r>
          </m:e>
          <m:sub>
            <m:r>
              <w:rPr>
                <w:rFonts w:ascii="Cambria Math" w:eastAsia="Times New Roman" w:hAnsi="Cambria Math" w:cstheme="majorHAnsi"/>
                <w:lang w:eastAsia="en-GB"/>
              </w:rPr>
              <m:t>it</m:t>
            </m:r>
          </m:sub>
        </m:sSub>
      </m:oMath>
      <w:r w:rsidR="00C41E36" w:rsidRPr="00CF21D5">
        <w:rPr>
          <w:rFonts w:asciiTheme="majorHAnsi" w:eastAsia="Times New Roman" w:hAnsiTheme="majorHAnsi" w:cstheme="majorHAnsi"/>
          <w:lang w:eastAsia="en-GB"/>
        </w:rPr>
        <w:t xml:space="preserve"> </w:t>
      </w:r>
      <w:r w:rsidRPr="00B106AA">
        <w:rPr>
          <w:rFonts w:asciiTheme="majorHAnsi" w:eastAsia="Times New Roman" w:hAnsiTheme="majorHAnsi" w:cstheme="majorHAnsi"/>
          <w:lang w:eastAsia="en-GB"/>
        </w:rPr>
        <w:t>represents the outcome of interest for firm</w:t>
      </w:r>
      <w:r>
        <w:rPr>
          <w:rFonts w:asciiTheme="majorHAnsi" w:eastAsia="Times New Roman" w:hAnsiTheme="majorHAnsi" w:cstheme="majorHAnsi"/>
          <w:lang w:eastAsia="en-GB"/>
        </w:rPr>
        <w:t xml:space="preserve"> </w:t>
      </w:r>
      <m:oMath>
        <m:r>
          <w:rPr>
            <w:rFonts w:ascii="Cambria Math" w:eastAsia="Times New Roman" w:hAnsi="Cambria Math" w:cstheme="majorHAnsi"/>
            <w:lang w:eastAsia="en-GB"/>
          </w:rPr>
          <m:t>i</m:t>
        </m:r>
      </m:oMath>
      <w:r w:rsidR="00C41E36" w:rsidRPr="00C41E36">
        <w:rPr>
          <w:rFonts w:asciiTheme="majorHAnsi" w:eastAsia="Times New Roman" w:hAnsiTheme="majorHAnsi" w:cstheme="majorHAnsi"/>
          <w:lang w:eastAsia="en-GB"/>
        </w:rPr>
        <w:t xml:space="preserve"> at</w:t>
      </w:r>
      <w:r>
        <w:rPr>
          <w:rFonts w:asciiTheme="majorHAnsi" w:eastAsia="Times New Roman" w:hAnsiTheme="majorHAnsi" w:cstheme="majorHAnsi"/>
          <w:lang w:eastAsia="en-GB"/>
        </w:rPr>
        <w:t xml:space="preserve"> time</w:t>
      </w:r>
      <w:r w:rsidR="00C41E36" w:rsidRPr="00C41E36">
        <w:rPr>
          <w:rFonts w:asciiTheme="majorHAnsi" w:eastAsia="Times New Roman" w:hAnsiTheme="majorHAnsi" w:cstheme="majorHAnsi"/>
          <w:lang w:eastAsia="en-GB"/>
        </w:rPr>
        <w:t xml:space="preserve"> </w:t>
      </w:r>
      <m:oMath>
        <m:r>
          <w:rPr>
            <w:rFonts w:ascii="Cambria Math" w:eastAsia="Times New Roman" w:hAnsi="Cambria Math" w:cstheme="majorHAnsi"/>
            <w:lang w:eastAsia="en-GB"/>
          </w:rPr>
          <m:t>t</m:t>
        </m:r>
      </m:oMath>
      <w:r w:rsidR="00C41E36" w:rsidRPr="00C41E36">
        <w:rPr>
          <w:rFonts w:asciiTheme="majorHAnsi" w:eastAsia="Times New Roman" w:hAnsiTheme="majorHAnsi" w:cstheme="majorHAnsi"/>
          <w:lang w:eastAsia="en-GB"/>
        </w:rPr>
        <w:t xml:space="preserve">. The </w:t>
      </w:r>
      <w:r>
        <w:rPr>
          <w:rFonts w:asciiTheme="majorHAnsi" w:eastAsia="Times New Roman" w:hAnsiTheme="majorHAnsi" w:cstheme="majorHAnsi"/>
          <w:lang w:eastAsia="en-GB"/>
        </w:rPr>
        <w:t xml:space="preserve">variable </w:t>
      </w:r>
      <w:r w:rsidR="00C41E36" w:rsidRPr="00C41E36">
        <w:rPr>
          <w:rFonts w:asciiTheme="majorHAnsi" w:eastAsia="Times New Roman" w:hAnsiTheme="majorHAnsi" w:cstheme="majorHAnsi"/>
          <w:lang w:eastAsia="en-GB"/>
        </w:rPr>
        <w:t xml:space="preserve"> </w:t>
      </w:r>
      <m:oMath>
        <m:r>
          <w:rPr>
            <w:rFonts w:ascii="Cambria Math" w:eastAsia="Times New Roman" w:hAnsi="Cambria Math" w:cstheme="majorHAnsi"/>
            <w:lang w:eastAsia="en-GB"/>
          </w:rPr>
          <m:t>FA</m:t>
        </m:r>
      </m:oMath>
      <w:r w:rsidR="00C41E36">
        <w:rPr>
          <w:rFonts w:asciiTheme="majorHAnsi" w:eastAsia="Times New Roman" w:hAnsiTheme="majorHAnsi" w:cstheme="majorHAnsi"/>
          <w:lang w:eastAsia="en-GB"/>
        </w:rPr>
        <w:t xml:space="preserve"> </w:t>
      </w:r>
      <w:r w:rsidR="00C41E36" w:rsidRPr="00C41E36">
        <w:rPr>
          <w:rFonts w:asciiTheme="majorHAnsi" w:eastAsia="Times New Roman" w:hAnsiTheme="majorHAnsi" w:cstheme="majorHAnsi"/>
          <w:lang w:eastAsia="en-GB"/>
        </w:rPr>
        <w:t xml:space="preserve">delineates the proportion of workers impacted—a constant across firms throughout the examined span. </w:t>
      </w:r>
      <w:r>
        <w:rPr>
          <w:rFonts w:asciiTheme="majorHAnsi" w:eastAsia="Times New Roman" w:hAnsiTheme="majorHAnsi" w:cstheme="majorHAnsi"/>
          <w:lang w:eastAsia="en-GB"/>
        </w:rPr>
        <w:t xml:space="preserve">The vector </w:t>
      </w:r>
      <m:oMath>
        <m:r>
          <w:rPr>
            <w:rFonts w:ascii="Cambria Math" w:eastAsia="Times New Roman" w:hAnsi="Cambria Math" w:cstheme="majorHAnsi"/>
            <w:lang w:eastAsia="en-GB"/>
          </w:rPr>
          <m:t xml:space="preserve"> X</m:t>
        </m:r>
      </m:oMath>
      <w:r w:rsidR="00C41E36" w:rsidRPr="00C41E36">
        <w:rPr>
          <w:rFonts w:asciiTheme="majorHAnsi" w:eastAsia="Times New Roman" w:hAnsiTheme="majorHAnsi" w:cstheme="majorHAnsi"/>
          <w:lang w:eastAsia="en-GB"/>
        </w:rPr>
        <w:t xml:space="preserve"> </w:t>
      </w:r>
      <w:r w:rsidRPr="00B106AA">
        <w:rPr>
          <w:rFonts w:asciiTheme="majorHAnsi" w:eastAsia="Times New Roman" w:hAnsiTheme="majorHAnsi" w:cstheme="majorHAnsi"/>
          <w:lang w:eastAsia="en-GB"/>
        </w:rPr>
        <w:t>includes a comprehensive set of firm-level control variables, such as firm size, foreign ownership status, and the pre-policy capital-</w:t>
      </w:r>
      <w:proofErr w:type="spellStart"/>
      <w:r w:rsidRPr="00B106AA">
        <w:rPr>
          <w:rFonts w:asciiTheme="majorHAnsi" w:eastAsia="Times New Roman" w:hAnsiTheme="majorHAnsi" w:cstheme="majorHAnsi"/>
          <w:lang w:eastAsia="en-GB"/>
        </w:rPr>
        <w:t>labor</w:t>
      </w:r>
      <w:proofErr w:type="spellEnd"/>
      <w:r w:rsidRPr="00B106AA">
        <w:rPr>
          <w:rFonts w:asciiTheme="majorHAnsi" w:eastAsia="Times New Roman" w:hAnsiTheme="majorHAnsi" w:cstheme="majorHAnsi"/>
          <w:lang w:eastAsia="en-GB"/>
        </w:rPr>
        <w:t xml:space="preserve"> ratio. Furthermore, we incorporate three-digit industry fixed effects to enhance the granularity of our analysis.</w:t>
      </w:r>
    </w:p>
    <w:p w14:paraId="2D08DA5B" w14:textId="262D5C51" w:rsidR="00B106AA" w:rsidRPr="00B106AA" w:rsidRDefault="00B106AA" w:rsidP="00B106AA">
      <w:pPr>
        <w:spacing w:before="100" w:beforeAutospacing="1" w:after="100" w:afterAutospacing="1" w:line="360" w:lineRule="auto"/>
        <w:jc w:val="both"/>
        <w:rPr>
          <w:rFonts w:asciiTheme="majorHAnsi" w:eastAsia="Times New Roman" w:hAnsiTheme="majorHAnsi" w:cstheme="majorHAnsi"/>
          <w:lang w:eastAsia="en-GB"/>
        </w:rPr>
      </w:pPr>
      <w:r w:rsidRPr="00B106AA">
        <w:rPr>
          <w:rFonts w:asciiTheme="majorHAnsi" w:eastAsia="Times New Roman" w:hAnsiTheme="majorHAnsi" w:cstheme="majorHAnsi"/>
          <w:lang w:eastAsia="en-GB"/>
        </w:rPr>
        <w:t>The left-hand side of the equation captures the relative change in the outcome variable from 2013, the final fiscal year preceding the wage shift, to year</w:t>
      </w:r>
      <w:r>
        <w:rPr>
          <w:rFonts w:asciiTheme="majorHAnsi" w:eastAsia="Times New Roman" w:hAnsiTheme="majorHAnsi" w:cstheme="majorHAnsi"/>
          <w:lang w:eastAsia="en-GB"/>
        </w:rPr>
        <w:t xml:space="preserve"> </w:t>
      </w:r>
      <m:oMath>
        <m:r>
          <w:rPr>
            <w:rFonts w:ascii="Cambria Math" w:eastAsia="Times New Roman" w:hAnsi="Cambria Math" w:cstheme="majorHAnsi"/>
            <w:lang w:eastAsia="en-GB"/>
          </w:rPr>
          <m:t>t</m:t>
        </m:r>
      </m:oMath>
      <w:r>
        <w:rPr>
          <w:rFonts w:asciiTheme="majorHAnsi" w:eastAsia="Times New Roman" w:hAnsiTheme="majorHAnsi" w:cstheme="majorHAnsi"/>
          <w:lang w:eastAsia="en-GB"/>
        </w:rPr>
        <w:t xml:space="preserve">. The coefficient </w:t>
      </w:r>
      <m:oMath>
        <m:r>
          <w:rPr>
            <w:rFonts w:ascii="Cambria Math" w:eastAsia="Times New Roman" w:hAnsi="Cambria Math" w:cstheme="majorHAnsi"/>
          </w:rPr>
          <m:t xml:space="preserve">β </m:t>
        </m:r>
      </m:oMath>
      <w:r w:rsidRPr="00B106AA">
        <w:rPr>
          <w:rFonts w:asciiTheme="majorHAnsi" w:eastAsia="Times New Roman" w:hAnsiTheme="majorHAnsi" w:cstheme="majorHAnsi"/>
          <w:lang w:eastAsia="en-GB"/>
        </w:rPr>
        <w:t xml:space="preserve">quantifies the discernible impact of the wage increment on the variable of interest. It is essential to note that in this configuration, both time-specific effects and firm-specific attributes exhibit temporal flexibility, consistent with the framework developed by </w:t>
      </w:r>
      <w:proofErr w:type="spellStart"/>
      <w:r w:rsidRPr="00B106AA">
        <w:rPr>
          <w:rFonts w:asciiTheme="majorHAnsi" w:eastAsia="Times New Roman" w:hAnsiTheme="majorHAnsi" w:cstheme="majorHAnsi"/>
          <w:lang w:eastAsia="en-GB"/>
        </w:rPr>
        <w:t>Harasztsosi</w:t>
      </w:r>
      <w:proofErr w:type="spellEnd"/>
      <w:r w:rsidRPr="00B106AA">
        <w:rPr>
          <w:rFonts w:asciiTheme="majorHAnsi" w:eastAsia="Times New Roman" w:hAnsiTheme="majorHAnsi" w:cstheme="majorHAnsi"/>
          <w:lang w:eastAsia="en-GB"/>
        </w:rPr>
        <w:t xml:space="preserve"> and Lindner (2019).</w:t>
      </w:r>
    </w:p>
    <w:p w14:paraId="49847431" w14:textId="427050D1" w:rsidR="00B106AA" w:rsidRPr="00CF21D5" w:rsidRDefault="00B106AA" w:rsidP="00CF21D5">
      <w:pPr>
        <w:spacing w:before="100" w:beforeAutospacing="1" w:after="100" w:afterAutospacing="1" w:line="360" w:lineRule="auto"/>
        <w:jc w:val="both"/>
        <w:rPr>
          <w:rFonts w:asciiTheme="majorHAnsi" w:eastAsia="Times New Roman" w:hAnsiTheme="majorHAnsi" w:cstheme="majorHAnsi"/>
          <w:lang w:eastAsia="en-GB"/>
        </w:rPr>
      </w:pPr>
      <w:r w:rsidRPr="00B106AA">
        <w:rPr>
          <w:rFonts w:asciiTheme="majorHAnsi" w:eastAsia="Times New Roman" w:hAnsiTheme="majorHAnsi" w:cstheme="majorHAnsi"/>
          <w:lang w:eastAsia="en-GB"/>
        </w:rPr>
        <w:t>This analytical framework enables us to systematically assess the effects of the minimum wage increase on various firm-level metrics by comparing the trajectories of treated and control entities, while controlling for important covariates and industry-specific factors.</w:t>
      </w:r>
    </w:p>
    <w:p w14:paraId="4118CF37" w14:textId="77777777" w:rsidR="00E06124" w:rsidRPr="00CF21D5" w:rsidRDefault="00E06124" w:rsidP="00C86818">
      <w:pPr>
        <w:pStyle w:val="ListParagraph"/>
        <w:numPr>
          <w:ilvl w:val="0"/>
          <w:numId w:val="17"/>
        </w:numPr>
        <w:spacing w:before="100" w:beforeAutospacing="1" w:after="100" w:afterAutospacing="1" w:line="360" w:lineRule="auto"/>
        <w:rPr>
          <w:rFonts w:asciiTheme="majorHAnsi" w:hAnsiTheme="majorHAnsi" w:cstheme="majorHAnsi"/>
          <w:b/>
          <w:bCs/>
          <w:lang w:val="en-US"/>
        </w:rPr>
      </w:pPr>
      <w:r w:rsidRPr="00CF21D5">
        <w:rPr>
          <w:rFonts w:asciiTheme="majorHAnsi" w:hAnsiTheme="majorHAnsi" w:cstheme="majorHAnsi"/>
          <w:b/>
          <w:bCs/>
          <w:lang w:val="en-US"/>
        </w:rPr>
        <w:lastRenderedPageBreak/>
        <w:t>Data and variables</w:t>
      </w:r>
    </w:p>
    <w:p w14:paraId="05BD7274" w14:textId="32FA48FD" w:rsidR="00B106AA" w:rsidRPr="00B106AA" w:rsidRDefault="00B106AA" w:rsidP="00BA6BFE">
      <w:pPr>
        <w:pStyle w:val="Caption"/>
        <w:keepNext/>
        <w:spacing w:line="360" w:lineRule="auto"/>
        <w:jc w:val="both"/>
        <w:rPr>
          <w:rFonts w:asciiTheme="majorHAnsi" w:hAnsiTheme="majorHAnsi" w:cstheme="majorHAnsi"/>
          <w:i w:val="0"/>
          <w:iCs w:val="0"/>
          <w:color w:val="auto"/>
          <w:sz w:val="22"/>
          <w:szCs w:val="22"/>
          <w:lang w:val="en-US"/>
        </w:rPr>
      </w:pPr>
      <w:r w:rsidRPr="00B106AA">
        <w:rPr>
          <w:rFonts w:asciiTheme="majorHAnsi" w:hAnsiTheme="majorHAnsi" w:cstheme="majorHAnsi"/>
          <w:i w:val="0"/>
          <w:iCs w:val="0"/>
          <w:color w:val="auto"/>
          <w:sz w:val="22"/>
          <w:szCs w:val="22"/>
          <w:lang w:val="en-US"/>
        </w:rPr>
        <w:t>Our empirical analysis relies on anonymized tax records from South Africa, allowing us to investigate the firm-level consequences of the minimum wage increase. We leverage two primary datasets: the Corporate Income Tax (CIT) records and the payroll tax certificates contained within the IRP5 dataset.</w:t>
      </w:r>
    </w:p>
    <w:p w14:paraId="59DC1946" w14:textId="76A4FFE7" w:rsidR="00B106AA" w:rsidRPr="00B106AA" w:rsidRDefault="00B106AA" w:rsidP="00BA6BFE">
      <w:pPr>
        <w:pStyle w:val="Caption"/>
        <w:keepNext/>
        <w:spacing w:line="360" w:lineRule="auto"/>
        <w:jc w:val="both"/>
        <w:rPr>
          <w:rFonts w:asciiTheme="majorHAnsi" w:hAnsiTheme="majorHAnsi" w:cstheme="majorHAnsi"/>
          <w:i w:val="0"/>
          <w:iCs w:val="0"/>
          <w:color w:val="auto"/>
          <w:sz w:val="22"/>
          <w:szCs w:val="22"/>
          <w:lang w:val="en-US"/>
        </w:rPr>
      </w:pPr>
      <w:r w:rsidRPr="00B106AA">
        <w:rPr>
          <w:rFonts w:asciiTheme="majorHAnsi" w:hAnsiTheme="majorHAnsi" w:cstheme="majorHAnsi"/>
          <w:i w:val="0"/>
          <w:iCs w:val="0"/>
          <w:color w:val="auto"/>
          <w:sz w:val="22"/>
          <w:szCs w:val="22"/>
          <w:lang w:val="en-US"/>
        </w:rPr>
        <w:t>The crucial treatment variable in our study, representing the fraction of affected workers, originates from the IRP5 records. These records provide detailed information on individual employment durations and annual incomes. After calculating both the workforce size on each farm and the proportion of laborers in 2012 whose earnings fell below the forthcoming 2013 minimum wage threshold, we transform the IRP5 data into a firm-level perspective. Employing unique identifiers present within the IRP5 dataset, we subsequently integrate this information with the CIT dataset.</w:t>
      </w:r>
    </w:p>
    <w:p w14:paraId="602A45C8" w14:textId="77777777" w:rsidR="00B106AA" w:rsidRDefault="00B106AA" w:rsidP="00BA6BFE">
      <w:pPr>
        <w:pStyle w:val="Caption"/>
        <w:keepNext/>
        <w:spacing w:line="360" w:lineRule="auto"/>
        <w:jc w:val="both"/>
        <w:rPr>
          <w:rFonts w:asciiTheme="majorHAnsi" w:hAnsiTheme="majorHAnsi" w:cstheme="majorHAnsi"/>
          <w:i w:val="0"/>
          <w:iCs w:val="0"/>
          <w:color w:val="auto"/>
          <w:sz w:val="22"/>
          <w:szCs w:val="22"/>
          <w:lang w:val="en-US"/>
        </w:rPr>
      </w:pPr>
      <w:r w:rsidRPr="00B106AA">
        <w:rPr>
          <w:rFonts w:asciiTheme="majorHAnsi" w:hAnsiTheme="majorHAnsi" w:cstheme="majorHAnsi"/>
          <w:i w:val="0"/>
          <w:iCs w:val="0"/>
          <w:color w:val="auto"/>
          <w:sz w:val="22"/>
          <w:szCs w:val="22"/>
          <w:lang w:val="en-US"/>
        </w:rPr>
        <w:t>The additional outcome metrics used in our analysis are extracted from the CIT records, which offer comprehensive balance sheet insights for each farm. We narrow our focus exclusively to the agricultural sector using two-digit SIC7 industry codes. It is important to note that not all farms listed in the CIT data can be matched with IRP5 certificates. Out of the 30,553 farms documented in the CIT data, only 15,037, or just under 49%, have corresponding entries in the IRP5 dataset. Consequently, our analytical efforts are limited to those farms registered in CIT data that can be linked to IRP5 documentation. As presented in Table 1, the harmonized dataset primarily includes larger farming enterprises. To address any potential bias towards more substantial entities, we employ a reweighting scheme based on farm size.</w:t>
      </w:r>
    </w:p>
    <w:p w14:paraId="484D9943" w14:textId="20AE777A" w:rsidR="00E06124" w:rsidRPr="00512434" w:rsidRDefault="00E06124" w:rsidP="00B106AA">
      <w:pPr>
        <w:pStyle w:val="Caption"/>
        <w:keepNext/>
        <w:rPr>
          <w:b/>
          <w:bCs/>
          <w:i w:val="0"/>
          <w:iCs w:val="0"/>
          <w:color w:val="auto"/>
        </w:rPr>
      </w:pPr>
      <w:r w:rsidRPr="00512434">
        <w:rPr>
          <w:b/>
          <w:bCs/>
          <w:i w:val="0"/>
          <w:iCs w:val="0"/>
          <w:color w:val="auto"/>
        </w:rPr>
        <w:t xml:space="preserve">Table </w:t>
      </w:r>
      <w:r w:rsidRPr="00512434">
        <w:rPr>
          <w:b/>
          <w:bCs/>
          <w:i w:val="0"/>
          <w:iCs w:val="0"/>
          <w:color w:val="auto"/>
        </w:rPr>
        <w:fldChar w:fldCharType="begin"/>
      </w:r>
      <w:r w:rsidRPr="00512434">
        <w:rPr>
          <w:b/>
          <w:bCs/>
          <w:i w:val="0"/>
          <w:iCs w:val="0"/>
          <w:color w:val="auto"/>
        </w:rPr>
        <w:instrText xml:space="preserve"> SEQ Table \* ARABIC </w:instrText>
      </w:r>
      <w:r w:rsidRPr="00512434">
        <w:rPr>
          <w:b/>
          <w:bCs/>
          <w:i w:val="0"/>
          <w:iCs w:val="0"/>
          <w:color w:val="auto"/>
        </w:rPr>
        <w:fldChar w:fldCharType="separate"/>
      </w:r>
      <w:r>
        <w:rPr>
          <w:b/>
          <w:bCs/>
          <w:i w:val="0"/>
          <w:iCs w:val="0"/>
          <w:noProof/>
          <w:color w:val="auto"/>
        </w:rPr>
        <w:t>1</w:t>
      </w:r>
      <w:r w:rsidRPr="00512434">
        <w:rPr>
          <w:b/>
          <w:bCs/>
          <w:i w:val="0"/>
          <w:iCs w:val="0"/>
          <w:color w:val="auto"/>
        </w:rPr>
        <w:fldChar w:fldCharType="end"/>
      </w:r>
      <w:r w:rsidRPr="00512434">
        <w:rPr>
          <w:b/>
          <w:bCs/>
          <w:i w:val="0"/>
          <w:iCs w:val="0"/>
          <w:color w:val="auto"/>
        </w:rPr>
        <w:t>: Mean comparison between matched and unmatched samples</w:t>
      </w:r>
    </w:p>
    <w:tbl>
      <w:tblPr>
        <w:tblStyle w:val="TableGrid"/>
        <w:tblW w:w="8408" w:type="dxa"/>
        <w:jc w:val="center"/>
        <w:tblLook w:val="04A0" w:firstRow="1" w:lastRow="0" w:firstColumn="1" w:lastColumn="0" w:noHBand="0" w:noVBand="1"/>
      </w:tblPr>
      <w:tblGrid>
        <w:gridCol w:w="1032"/>
        <w:gridCol w:w="1196"/>
        <w:gridCol w:w="1339"/>
        <w:gridCol w:w="1611"/>
        <w:gridCol w:w="1647"/>
        <w:gridCol w:w="1248"/>
        <w:gridCol w:w="1277"/>
      </w:tblGrid>
      <w:tr w:rsidR="00E06124" w:rsidRPr="00A75223" w14:paraId="53C7A146" w14:textId="77777777" w:rsidTr="008E10C6">
        <w:trPr>
          <w:trHeight w:val="370"/>
          <w:jc w:val="center"/>
        </w:trPr>
        <w:tc>
          <w:tcPr>
            <w:tcW w:w="923" w:type="dxa"/>
            <w:vMerge w:val="restart"/>
            <w:noWrap/>
            <w:hideMark/>
          </w:tcPr>
          <w:p w14:paraId="63FD6C84" w14:textId="77777777" w:rsidR="00E06124" w:rsidRPr="00512434" w:rsidRDefault="00E06124"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Tax year</w:t>
            </w:r>
          </w:p>
          <w:p w14:paraId="0C38E13E" w14:textId="77777777" w:rsidR="00E06124" w:rsidRPr="00512434" w:rsidRDefault="00E06124" w:rsidP="00A75223">
            <w:pPr>
              <w:spacing w:before="100" w:beforeAutospacing="1" w:after="100" w:afterAutospacing="1" w:line="360" w:lineRule="auto"/>
              <w:jc w:val="both"/>
              <w:rPr>
                <w:rFonts w:asciiTheme="majorHAnsi" w:hAnsiTheme="majorHAnsi" w:cstheme="majorHAnsi"/>
                <w:b/>
                <w:bCs/>
                <w:sz w:val="16"/>
                <w:szCs w:val="16"/>
              </w:rPr>
            </w:pPr>
            <w:r w:rsidRPr="00512434">
              <w:rPr>
                <w:rFonts w:asciiTheme="majorHAnsi" w:hAnsiTheme="majorHAnsi" w:cstheme="majorHAnsi"/>
                <w:b/>
                <w:bCs/>
                <w:sz w:val="16"/>
                <w:szCs w:val="16"/>
              </w:rPr>
              <w:t xml:space="preserve"> </w:t>
            </w:r>
          </w:p>
        </w:tc>
        <w:tc>
          <w:tcPr>
            <w:tcW w:w="2278" w:type="dxa"/>
            <w:gridSpan w:val="2"/>
            <w:noWrap/>
            <w:hideMark/>
          </w:tcPr>
          <w:p w14:paraId="7D25C077" w14:textId="77777777" w:rsidR="00E06124" w:rsidRPr="00512434" w:rsidRDefault="00E06124" w:rsidP="00512434">
            <w:pPr>
              <w:spacing w:before="100" w:beforeAutospacing="1" w:after="100" w:afterAutospacing="1" w:line="360" w:lineRule="auto"/>
              <w:jc w:val="center"/>
              <w:rPr>
                <w:rFonts w:asciiTheme="majorHAnsi" w:hAnsiTheme="majorHAnsi" w:cstheme="majorHAnsi"/>
                <w:b/>
                <w:bCs/>
                <w:sz w:val="16"/>
                <w:szCs w:val="16"/>
                <w:lang w:val="en-ZA"/>
              </w:rPr>
            </w:pPr>
            <w:r w:rsidRPr="00512434">
              <w:rPr>
                <w:rFonts w:asciiTheme="majorHAnsi" w:hAnsiTheme="majorHAnsi" w:cstheme="majorHAnsi"/>
                <w:b/>
                <w:bCs/>
                <w:sz w:val="16"/>
                <w:szCs w:val="16"/>
              </w:rPr>
              <w:t>Labour cost</w:t>
            </w:r>
            <w:r>
              <w:rPr>
                <w:rFonts w:asciiTheme="majorHAnsi" w:hAnsiTheme="majorHAnsi" w:cstheme="majorHAnsi"/>
                <w:b/>
                <w:bCs/>
                <w:sz w:val="16"/>
                <w:szCs w:val="16"/>
              </w:rPr>
              <w:t xml:space="preserve">  (ZAR) </w:t>
            </w:r>
          </w:p>
        </w:tc>
        <w:tc>
          <w:tcPr>
            <w:tcW w:w="2939" w:type="dxa"/>
            <w:gridSpan w:val="2"/>
            <w:noWrap/>
            <w:hideMark/>
          </w:tcPr>
          <w:p w14:paraId="2C55973C" w14:textId="77777777" w:rsidR="00E06124" w:rsidRPr="00512434" w:rsidRDefault="00E06124" w:rsidP="00512434">
            <w:pPr>
              <w:spacing w:before="100" w:beforeAutospacing="1" w:after="100" w:afterAutospacing="1" w:line="360" w:lineRule="auto"/>
              <w:jc w:val="center"/>
              <w:rPr>
                <w:rFonts w:asciiTheme="majorHAnsi" w:hAnsiTheme="majorHAnsi" w:cstheme="majorHAnsi"/>
                <w:b/>
                <w:bCs/>
                <w:sz w:val="16"/>
                <w:szCs w:val="16"/>
                <w:lang w:val="en-ZA"/>
              </w:rPr>
            </w:pPr>
            <w:r w:rsidRPr="00512434">
              <w:rPr>
                <w:rFonts w:asciiTheme="majorHAnsi" w:hAnsiTheme="majorHAnsi" w:cstheme="majorHAnsi"/>
                <w:b/>
                <w:bCs/>
                <w:sz w:val="16"/>
                <w:szCs w:val="16"/>
              </w:rPr>
              <w:t>Capital</w:t>
            </w:r>
            <w:r>
              <w:rPr>
                <w:rFonts w:asciiTheme="majorHAnsi" w:hAnsiTheme="majorHAnsi" w:cstheme="majorHAnsi"/>
                <w:b/>
                <w:bCs/>
                <w:sz w:val="16"/>
                <w:szCs w:val="16"/>
              </w:rPr>
              <w:t xml:space="preserve"> Expenditure (ZAR) </w:t>
            </w:r>
          </w:p>
        </w:tc>
        <w:tc>
          <w:tcPr>
            <w:tcW w:w="2268" w:type="dxa"/>
            <w:gridSpan w:val="2"/>
            <w:noWrap/>
            <w:hideMark/>
          </w:tcPr>
          <w:p w14:paraId="6A9791F7" w14:textId="77777777" w:rsidR="00E06124" w:rsidRPr="00512434" w:rsidRDefault="00E06124" w:rsidP="00512434">
            <w:pPr>
              <w:spacing w:before="100" w:beforeAutospacing="1" w:after="100" w:afterAutospacing="1" w:line="360" w:lineRule="auto"/>
              <w:jc w:val="center"/>
              <w:rPr>
                <w:rFonts w:asciiTheme="majorHAnsi" w:hAnsiTheme="majorHAnsi" w:cstheme="majorHAnsi"/>
                <w:b/>
                <w:bCs/>
                <w:sz w:val="16"/>
                <w:szCs w:val="16"/>
                <w:lang w:val="en-ZA"/>
              </w:rPr>
            </w:pPr>
            <w:r>
              <w:rPr>
                <w:rFonts w:asciiTheme="majorHAnsi" w:hAnsiTheme="majorHAnsi" w:cstheme="majorHAnsi"/>
                <w:b/>
                <w:bCs/>
                <w:sz w:val="16"/>
                <w:szCs w:val="16"/>
              </w:rPr>
              <w:t xml:space="preserve">Sales </w:t>
            </w:r>
            <w:r w:rsidRPr="00512434">
              <w:rPr>
                <w:rFonts w:asciiTheme="majorHAnsi" w:hAnsiTheme="majorHAnsi" w:cstheme="majorHAnsi"/>
                <w:b/>
                <w:bCs/>
                <w:sz w:val="16"/>
                <w:szCs w:val="16"/>
              </w:rPr>
              <w:t>Revenue</w:t>
            </w:r>
            <w:r>
              <w:rPr>
                <w:rFonts w:asciiTheme="majorHAnsi" w:hAnsiTheme="majorHAnsi" w:cstheme="majorHAnsi"/>
                <w:b/>
                <w:bCs/>
                <w:sz w:val="16"/>
                <w:szCs w:val="16"/>
              </w:rPr>
              <w:t xml:space="preserve"> (ZARZ0</w:t>
            </w:r>
          </w:p>
        </w:tc>
      </w:tr>
      <w:tr w:rsidR="00E06124" w:rsidRPr="00A75223" w14:paraId="1A7080E1" w14:textId="77777777" w:rsidTr="008E10C6">
        <w:trPr>
          <w:trHeight w:val="385"/>
          <w:jc w:val="center"/>
        </w:trPr>
        <w:tc>
          <w:tcPr>
            <w:tcW w:w="0" w:type="auto"/>
            <w:vMerge/>
            <w:noWrap/>
            <w:hideMark/>
          </w:tcPr>
          <w:p w14:paraId="2C82CD87" w14:textId="77777777" w:rsidR="00E06124" w:rsidRPr="00512434" w:rsidRDefault="00E06124" w:rsidP="00A75223">
            <w:pPr>
              <w:spacing w:before="100" w:beforeAutospacing="1" w:after="100" w:afterAutospacing="1" w:line="360" w:lineRule="auto"/>
              <w:jc w:val="both"/>
              <w:rPr>
                <w:rFonts w:asciiTheme="majorHAnsi" w:hAnsiTheme="majorHAnsi" w:cstheme="majorHAnsi"/>
                <w:b/>
                <w:bCs/>
                <w:sz w:val="16"/>
                <w:szCs w:val="16"/>
                <w:lang w:val="en-ZA"/>
              </w:rPr>
            </w:pPr>
          </w:p>
        </w:tc>
        <w:tc>
          <w:tcPr>
            <w:tcW w:w="0" w:type="auto"/>
            <w:noWrap/>
            <w:hideMark/>
          </w:tcPr>
          <w:p w14:paraId="31137861" w14:textId="77777777" w:rsidR="00E06124" w:rsidRPr="00512434" w:rsidRDefault="00E06124"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52FDEDE4" w14:textId="77777777" w:rsidR="00E06124" w:rsidRPr="00512434" w:rsidRDefault="00E06124"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c>
          <w:tcPr>
            <w:tcW w:w="0" w:type="auto"/>
            <w:noWrap/>
            <w:hideMark/>
          </w:tcPr>
          <w:p w14:paraId="729C16B2" w14:textId="77777777" w:rsidR="00E06124" w:rsidRPr="00512434" w:rsidRDefault="00E06124"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691FA6D1" w14:textId="77777777" w:rsidR="00E06124" w:rsidRPr="00512434" w:rsidRDefault="00E06124"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c>
          <w:tcPr>
            <w:tcW w:w="0" w:type="auto"/>
            <w:noWrap/>
            <w:hideMark/>
          </w:tcPr>
          <w:p w14:paraId="7E4F9F60" w14:textId="77777777" w:rsidR="00E06124" w:rsidRPr="00512434" w:rsidRDefault="00E06124"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Matched</w:t>
            </w:r>
          </w:p>
        </w:tc>
        <w:tc>
          <w:tcPr>
            <w:tcW w:w="0" w:type="auto"/>
            <w:noWrap/>
            <w:hideMark/>
          </w:tcPr>
          <w:p w14:paraId="4FA224F4" w14:textId="77777777" w:rsidR="00E06124" w:rsidRPr="00512434" w:rsidRDefault="00E06124" w:rsidP="00A75223">
            <w:pPr>
              <w:spacing w:before="100" w:beforeAutospacing="1" w:after="100" w:afterAutospacing="1" w:line="360" w:lineRule="auto"/>
              <w:jc w:val="both"/>
              <w:rPr>
                <w:rFonts w:asciiTheme="majorHAnsi" w:hAnsiTheme="majorHAnsi" w:cstheme="majorHAnsi"/>
                <w:b/>
                <w:bCs/>
                <w:sz w:val="16"/>
                <w:szCs w:val="16"/>
                <w:lang w:val="en-ZA"/>
              </w:rPr>
            </w:pPr>
            <w:r w:rsidRPr="00512434">
              <w:rPr>
                <w:rFonts w:asciiTheme="majorHAnsi" w:hAnsiTheme="majorHAnsi" w:cstheme="majorHAnsi"/>
                <w:b/>
                <w:bCs/>
                <w:sz w:val="16"/>
                <w:szCs w:val="16"/>
              </w:rPr>
              <w:t>Unmatched</w:t>
            </w:r>
          </w:p>
        </w:tc>
      </w:tr>
      <w:tr w:rsidR="00E06124" w:rsidRPr="008E10C6" w14:paraId="62E1D14F" w14:textId="77777777" w:rsidTr="008E10C6">
        <w:trPr>
          <w:trHeight w:val="370"/>
          <w:jc w:val="center"/>
        </w:trPr>
        <w:tc>
          <w:tcPr>
            <w:tcW w:w="0" w:type="auto"/>
            <w:noWrap/>
            <w:hideMark/>
          </w:tcPr>
          <w:p w14:paraId="690D0237"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2010/</w:t>
            </w:r>
            <w:r w:rsidRPr="00512434">
              <w:rPr>
                <w:rFonts w:asciiTheme="majorHAnsi" w:hAnsiTheme="majorHAnsi" w:cstheme="majorHAnsi"/>
                <w:sz w:val="16"/>
                <w:szCs w:val="16"/>
              </w:rPr>
              <w:t>2011</w:t>
            </w:r>
          </w:p>
        </w:tc>
        <w:tc>
          <w:tcPr>
            <w:tcW w:w="0" w:type="auto"/>
            <w:noWrap/>
            <w:hideMark/>
          </w:tcPr>
          <w:p w14:paraId="331AE6F3"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3,833,521</w:t>
            </w:r>
          </w:p>
        </w:tc>
        <w:tc>
          <w:tcPr>
            <w:tcW w:w="0" w:type="auto"/>
            <w:noWrap/>
            <w:hideMark/>
          </w:tcPr>
          <w:p w14:paraId="2A1AD27E"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1,859,318</w:t>
            </w:r>
          </w:p>
        </w:tc>
        <w:tc>
          <w:tcPr>
            <w:tcW w:w="0" w:type="auto"/>
            <w:noWrap/>
            <w:hideMark/>
          </w:tcPr>
          <w:p w14:paraId="6209F9EC"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11,396,921</w:t>
            </w:r>
          </w:p>
        </w:tc>
        <w:tc>
          <w:tcPr>
            <w:tcW w:w="0" w:type="auto"/>
            <w:noWrap/>
            <w:hideMark/>
          </w:tcPr>
          <w:p w14:paraId="33C5BDE2"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7,638,598</w:t>
            </w:r>
          </w:p>
        </w:tc>
        <w:tc>
          <w:tcPr>
            <w:tcW w:w="0" w:type="auto"/>
            <w:noWrap/>
            <w:hideMark/>
          </w:tcPr>
          <w:p w14:paraId="44125733"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40,090,864</w:t>
            </w:r>
          </w:p>
        </w:tc>
        <w:tc>
          <w:tcPr>
            <w:tcW w:w="0" w:type="auto"/>
            <w:noWrap/>
            <w:hideMark/>
          </w:tcPr>
          <w:p w14:paraId="0EA8200A"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10,092,924</w:t>
            </w:r>
          </w:p>
        </w:tc>
      </w:tr>
      <w:tr w:rsidR="00E06124" w:rsidRPr="008E10C6" w14:paraId="28369DE3" w14:textId="77777777" w:rsidTr="008E10C6">
        <w:trPr>
          <w:trHeight w:val="370"/>
          <w:jc w:val="center"/>
        </w:trPr>
        <w:tc>
          <w:tcPr>
            <w:tcW w:w="0" w:type="auto"/>
            <w:noWrap/>
            <w:hideMark/>
          </w:tcPr>
          <w:p w14:paraId="0C27ADF3"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2011/</w:t>
            </w:r>
            <w:r w:rsidRPr="00512434">
              <w:rPr>
                <w:rFonts w:asciiTheme="majorHAnsi" w:hAnsiTheme="majorHAnsi" w:cstheme="majorHAnsi"/>
                <w:sz w:val="16"/>
                <w:szCs w:val="16"/>
              </w:rPr>
              <w:t>2012</w:t>
            </w:r>
          </w:p>
        </w:tc>
        <w:tc>
          <w:tcPr>
            <w:tcW w:w="0" w:type="auto"/>
            <w:noWrap/>
            <w:hideMark/>
          </w:tcPr>
          <w:p w14:paraId="69490C7B"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4,172,529</w:t>
            </w:r>
          </w:p>
        </w:tc>
        <w:tc>
          <w:tcPr>
            <w:tcW w:w="0" w:type="auto"/>
            <w:noWrap/>
            <w:hideMark/>
          </w:tcPr>
          <w:p w14:paraId="3270B648"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1,807,241</w:t>
            </w:r>
          </w:p>
        </w:tc>
        <w:tc>
          <w:tcPr>
            <w:tcW w:w="0" w:type="auto"/>
            <w:noWrap/>
            <w:hideMark/>
          </w:tcPr>
          <w:p w14:paraId="290DBBB4"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14,041,518</w:t>
            </w:r>
          </w:p>
        </w:tc>
        <w:tc>
          <w:tcPr>
            <w:tcW w:w="0" w:type="auto"/>
            <w:noWrap/>
            <w:hideMark/>
          </w:tcPr>
          <w:p w14:paraId="0EE6B02D"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7,972,111</w:t>
            </w:r>
          </w:p>
        </w:tc>
        <w:tc>
          <w:tcPr>
            <w:tcW w:w="0" w:type="auto"/>
            <w:noWrap/>
            <w:hideMark/>
          </w:tcPr>
          <w:p w14:paraId="43016246"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43,295,332</w:t>
            </w:r>
          </w:p>
        </w:tc>
        <w:tc>
          <w:tcPr>
            <w:tcW w:w="0" w:type="auto"/>
            <w:noWrap/>
            <w:hideMark/>
          </w:tcPr>
          <w:p w14:paraId="2723EC8D"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10,518,447</w:t>
            </w:r>
          </w:p>
        </w:tc>
      </w:tr>
      <w:tr w:rsidR="00E06124" w:rsidRPr="008E10C6" w14:paraId="7D8BC96A" w14:textId="77777777" w:rsidTr="008E10C6">
        <w:trPr>
          <w:trHeight w:val="370"/>
          <w:jc w:val="center"/>
        </w:trPr>
        <w:tc>
          <w:tcPr>
            <w:tcW w:w="0" w:type="auto"/>
            <w:noWrap/>
            <w:hideMark/>
          </w:tcPr>
          <w:p w14:paraId="5253DDF0"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2012/</w:t>
            </w:r>
            <w:r w:rsidRPr="00512434">
              <w:rPr>
                <w:rFonts w:asciiTheme="majorHAnsi" w:hAnsiTheme="majorHAnsi" w:cstheme="majorHAnsi"/>
                <w:sz w:val="16"/>
                <w:szCs w:val="16"/>
              </w:rPr>
              <w:t>2013</w:t>
            </w:r>
          </w:p>
        </w:tc>
        <w:tc>
          <w:tcPr>
            <w:tcW w:w="0" w:type="auto"/>
            <w:noWrap/>
            <w:hideMark/>
          </w:tcPr>
          <w:p w14:paraId="76761D2C"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4,077,651</w:t>
            </w:r>
          </w:p>
        </w:tc>
        <w:tc>
          <w:tcPr>
            <w:tcW w:w="0" w:type="auto"/>
            <w:noWrap/>
            <w:hideMark/>
          </w:tcPr>
          <w:p w14:paraId="2C4A0AC9"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2,454,689</w:t>
            </w:r>
          </w:p>
        </w:tc>
        <w:tc>
          <w:tcPr>
            <w:tcW w:w="0" w:type="auto"/>
            <w:noWrap/>
            <w:hideMark/>
          </w:tcPr>
          <w:p w14:paraId="2F8C86C7"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15,389,129</w:t>
            </w:r>
          </w:p>
        </w:tc>
        <w:tc>
          <w:tcPr>
            <w:tcW w:w="0" w:type="auto"/>
            <w:noWrap/>
            <w:hideMark/>
          </w:tcPr>
          <w:p w14:paraId="3D1B5E41"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10,590,323</w:t>
            </w:r>
          </w:p>
        </w:tc>
        <w:tc>
          <w:tcPr>
            <w:tcW w:w="0" w:type="auto"/>
            <w:noWrap/>
            <w:hideMark/>
          </w:tcPr>
          <w:p w14:paraId="5DFBB4E9"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42,449,404</w:t>
            </w:r>
          </w:p>
        </w:tc>
        <w:tc>
          <w:tcPr>
            <w:tcW w:w="0" w:type="auto"/>
            <w:noWrap/>
            <w:hideMark/>
          </w:tcPr>
          <w:p w14:paraId="1C582B8F"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14,309,355</w:t>
            </w:r>
          </w:p>
        </w:tc>
      </w:tr>
      <w:tr w:rsidR="00E06124" w:rsidRPr="008E10C6" w14:paraId="16EC134E" w14:textId="77777777" w:rsidTr="008E10C6">
        <w:trPr>
          <w:trHeight w:val="370"/>
          <w:jc w:val="center"/>
        </w:trPr>
        <w:tc>
          <w:tcPr>
            <w:tcW w:w="0" w:type="auto"/>
            <w:noWrap/>
            <w:hideMark/>
          </w:tcPr>
          <w:p w14:paraId="76BAD7BF"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2013/</w:t>
            </w:r>
            <w:r w:rsidRPr="00512434">
              <w:rPr>
                <w:rFonts w:asciiTheme="majorHAnsi" w:hAnsiTheme="majorHAnsi" w:cstheme="majorHAnsi"/>
                <w:sz w:val="16"/>
                <w:szCs w:val="16"/>
              </w:rPr>
              <w:t>2014</w:t>
            </w:r>
          </w:p>
        </w:tc>
        <w:tc>
          <w:tcPr>
            <w:tcW w:w="0" w:type="auto"/>
            <w:noWrap/>
            <w:hideMark/>
          </w:tcPr>
          <w:p w14:paraId="78F3BE7B"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4,936,624</w:t>
            </w:r>
          </w:p>
        </w:tc>
        <w:tc>
          <w:tcPr>
            <w:tcW w:w="0" w:type="auto"/>
            <w:noWrap/>
            <w:hideMark/>
          </w:tcPr>
          <w:p w14:paraId="39DF7DE1"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2,497,485</w:t>
            </w:r>
          </w:p>
        </w:tc>
        <w:tc>
          <w:tcPr>
            <w:tcW w:w="0" w:type="auto"/>
            <w:noWrap/>
            <w:hideMark/>
          </w:tcPr>
          <w:p w14:paraId="4DECEAB1"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18,700,073</w:t>
            </w:r>
          </w:p>
        </w:tc>
        <w:tc>
          <w:tcPr>
            <w:tcW w:w="0" w:type="auto"/>
            <w:noWrap/>
            <w:hideMark/>
          </w:tcPr>
          <w:p w14:paraId="14F46CDC"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10,723,606</w:t>
            </w:r>
          </w:p>
        </w:tc>
        <w:tc>
          <w:tcPr>
            <w:tcW w:w="0" w:type="auto"/>
            <w:noWrap/>
            <w:hideMark/>
          </w:tcPr>
          <w:p w14:paraId="0000DE43"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51,079,534</w:t>
            </w:r>
          </w:p>
        </w:tc>
        <w:tc>
          <w:tcPr>
            <w:tcW w:w="0" w:type="auto"/>
            <w:noWrap/>
            <w:hideMark/>
          </w:tcPr>
          <w:p w14:paraId="3C5B5581"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16,974,225</w:t>
            </w:r>
          </w:p>
        </w:tc>
      </w:tr>
      <w:tr w:rsidR="00E06124" w:rsidRPr="008E10C6" w14:paraId="146A27C2" w14:textId="77777777" w:rsidTr="008E10C6">
        <w:trPr>
          <w:trHeight w:val="370"/>
          <w:jc w:val="center"/>
        </w:trPr>
        <w:tc>
          <w:tcPr>
            <w:tcW w:w="0" w:type="auto"/>
            <w:noWrap/>
            <w:hideMark/>
          </w:tcPr>
          <w:p w14:paraId="79AD45A3"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2014/</w:t>
            </w:r>
            <w:r w:rsidRPr="00512434">
              <w:rPr>
                <w:rFonts w:asciiTheme="majorHAnsi" w:hAnsiTheme="majorHAnsi" w:cstheme="majorHAnsi"/>
                <w:sz w:val="16"/>
                <w:szCs w:val="16"/>
              </w:rPr>
              <w:t>2015</w:t>
            </w:r>
          </w:p>
        </w:tc>
        <w:tc>
          <w:tcPr>
            <w:tcW w:w="0" w:type="auto"/>
            <w:noWrap/>
            <w:hideMark/>
          </w:tcPr>
          <w:p w14:paraId="07558829"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5,689,800</w:t>
            </w:r>
          </w:p>
        </w:tc>
        <w:tc>
          <w:tcPr>
            <w:tcW w:w="0" w:type="auto"/>
            <w:noWrap/>
            <w:hideMark/>
          </w:tcPr>
          <w:p w14:paraId="77554FCD"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2,429,357</w:t>
            </w:r>
          </w:p>
        </w:tc>
        <w:tc>
          <w:tcPr>
            <w:tcW w:w="0" w:type="auto"/>
            <w:noWrap/>
            <w:hideMark/>
          </w:tcPr>
          <w:p w14:paraId="1EE3738B"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22,056,752</w:t>
            </w:r>
          </w:p>
        </w:tc>
        <w:tc>
          <w:tcPr>
            <w:tcW w:w="0" w:type="auto"/>
            <w:noWrap/>
            <w:hideMark/>
          </w:tcPr>
          <w:p w14:paraId="16D46FF1"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11,287,229</w:t>
            </w:r>
          </w:p>
        </w:tc>
        <w:tc>
          <w:tcPr>
            <w:tcW w:w="0" w:type="auto"/>
            <w:noWrap/>
            <w:hideMark/>
          </w:tcPr>
          <w:p w14:paraId="6ED73F39"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57,516,251</w:t>
            </w:r>
          </w:p>
        </w:tc>
        <w:tc>
          <w:tcPr>
            <w:tcW w:w="0" w:type="auto"/>
            <w:noWrap/>
            <w:hideMark/>
          </w:tcPr>
          <w:p w14:paraId="52A16345"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17,171,298</w:t>
            </w:r>
          </w:p>
        </w:tc>
      </w:tr>
      <w:tr w:rsidR="00E06124" w:rsidRPr="008E10C6" w14:paraId="1D67D1BD" w14:textId="77777777" w:rsidTr="008E10C6">
        <w:trPr>
          <w:trHeight w:val="370"/>
          <w:jc w:val="center"/>
        </w:trPr>
        <w:tc>
          <w:tcPr>
            <w:tcW w:w="0" w:type="auto"/>
            <w:noWrap/>
            <w:hideMark/>
          </w:tcPr>
          <w:p w14:paraId="47840136"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2015/</w:t>
            </w:r>
            <w:r w:rsidRPr="00512434">
              <w:rPr>
                <w:rFonts w:asciiTheme="majorHAnsi" w:hAnsiTheme="majorHAnsi" w:cstheme="majorHAnsi"/>
                <w:sz w:val="16"/>
                <w:szCs w:val="16"/>
              </w:rPr>
              <w:t>2016</w:t>
            </w:r>
          </w:p>
        </w:tc>
        <w:tc>
          <w:tcPr>
            <w:tcW w:w="0" w:type="auto"/>
            <w:noWrap/>
            <w:hideMark/>
          </w:tcPr>
          <w:p w14:paraId="2E2F5640"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6,282,174</w:t>
            </w:r>
          </w:p>
        </w:tc>
        <w:tc>
          <w:tcPr>
            <w:tcW w:w="0" w:type="auto"/>
            <w:noWrap/>
            <w:hideMark/>
          </w:tcPr>
          <w:p w14:paraId="690CA2B9"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3,786,944</w:t>
            </w:r>
          </w:p>
        </w:tc>
        <w:tc>
          <w:tcPr>
            <w:tcW w:w="0" w:type="auto"/>
            <w:noWrap/>
            <w:hideMark/>
          </w:tcPr>
          <w:p w14:paraId="24CB8C5E"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25,890,801</w:t>
            </w:r>
          </w:p>
        </w:tc>
        <w:tc>
          <w:tcPr>
            <w:tcW w:w="0" w:type="auto"/>
            <w:noWrap/>
            <w:hideMark/>
          </w:tcPr>
          <w:p w14:paraId="2FD4C0F9"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12,779,931</w:t>
            </w:r>
          </w:p>
        </w:tc>
        <w:tc>
          <w:tcPr>
            <w:tcW w:w="0" w:type="auto"/>
            <w:noWrap/>
            <w:hideMark/>
          </w:tcPr>
          <w:p w14:paraId="0FFBED99"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66,298,197</w:t>
            </w:r>
          </w:p>
        </w:tc>
        <w:tc>
          <w:tcPr>
            <w:tcW w:w="0" w:type="auto"/>
            <w:noWrap/>
            <w:hideMark/>
          </w:tcPr>
          <w:p w14:paraId="4ED6B197"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27,159,031</w:t>
            </w:r>
          </w:p>
        </w:tc>
      </w:tr>
      <w:tr w:rsidR="00E06124" w:rsidRPr="008E10C6" w14:paraId="384FD448" w14:textId="77777777" w:rsidTr="00512434">
        <w:trPr>
          <w:trHeight w:val="385"/>
          <w:jc w:val="center"/>
        </w:trPr>
        <w:tc>
          <w:tcPr>
            <w:tcW w:w="0" w:type="auto"/>
            <w:tcBorders>
              <w:bottom w:val="single" w:sz="4" w:space="0" w:color="auto"/>
            </w:tcBorders>
            <w:noWrap/>
            <w:hideMark/>
          </w:tcPr>
          <w:p w14:paraId="32E5F802"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Pr>
                <w:rFonts w:asciiTheme="majorHAnsi" w:hAnsiTheme="majorHAnsi" w:cstheme="majorHAnsi"/>
                <w:sz w:val="16"/>
                <w:szCs w:val="16"/>
              </w:rPr>
              <w:t>2016/</w:t>
            </w:r>
            <w:r w:rsidRPr="00512434">
              <w:rPr>
                <w:rFonts w:asciiTheme="majorHAnsi" w:hAnsiTheme="majorHAnsi" w:cstheme="majorHAnsi"/>
                <w:sz w:val="16"/>
                <w:szCs w:val="16"/>
              </w:rPr>
              <w:t>2017</w:t>
            </w:r>
          </w:p>
        </w:tc>
        <w:tc>
          <w:tcPr>
            <w:tcW w:w="0" w:type="auto"/>
            <w:tcBorders>
              <w:bottom w:val="single" w:sz="4" w:space="0" w:color="auto"/>
            </w:tcBorders>
            <w:noWrap/>
            <w:hideMark/>
          </w:tcPr>
          <w:p w14:paraId="3B682EFB"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6,973,257</w:t>
            </w:r>
          </w:p>
        </w:tc>
        <w:tc>
          <w:tcPr>
            <w:tcW w:w="0" w:type="auto"/>
            <w:tcBorders>
              <w:bottom w:val="single" w:sz="4" w:space="0" w:color="auto"/>
            </w:tcBorders>
            <w:noWrap/>
            <w:hideMark/>
          </w:tcPr>
          <w:p w14:paraId="26DF2D40"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2,775,420</w:t>
            </w:r>
          </w:p>
        </w:tc>
        <w:tc>
          <w:tcPr>
            <w:tcW w:w="0" w:type="auto"/>
            <w:tcBorders>
              <w:bottom w:val="single" w:sz="4" w:space="0" w:color="auto"/>
            </w:tcBorders>
            <w:noWrap/>
            <w:hideMark/>
          </w:tcPr>
          <w:p w14:paraId="5AD7B076"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29,383,460</w:t>
            </w:r>
          </w:p>
        </w:tc>
        <w:tc>
          <w:tcPr>
            <w:tcW w:w="0" w:type="auto"/>
            <w:tcBorders>
              <w:bottom w:val="single" w:sz="4" w:space="0" w:color="auto"/>
            </w:tcBorders>
            <w:noWrap/>
            <w:hideMark/>
          </w:tcPr>
          <w:p w14:paraId="1F999242"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12,627,818</w:t>
            </w:r>
          </w:p>
        </w:tc>
        <w:tc>
          <w:tcPr>
            <w:tcW w:w="0" w:type="auto"/>
            <w:tcBorders>
              <w:bottom w:val="single" w:sz="4" w:space="0" w:color="auto"/>
            </w:tcBorders>
            <w:noWrap/>
            <w:hideMark/>
          </w:tcPr>
          <w:p w14:paraId="618CBD53"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72,352,202</w:t>
            </w:r>
          </w:p>
        </w:tc>
        <w:tc>
          <w:tcPr>
            <w:tcW w:w="0" w:type="auto"/>
            <w:tcBorders>
              <w:bottom w:val="single" w:sz="4" w:space="0" w:color="auto"/>
            </w:tcBorders>
            <w:noWrap/>
            <w:hideMark/>
          </w:tcPr>
          <w:p w14:paraId="6F4800B3" w14:textId="77777777" w:rsidR="00E06124" w:rsidRPr="00512434" w:rsidRDefault="00E06124" w:rsidP="00A75223">
            <w:pPr>
              <w:spacing w:before="100" w:beforeAutospacing="1" w:after="100" w:afterAutospacing="1" w:line="360" w:lineRule="auto"/>
              <w:jc w:val="both"/>
              <w:rPr>
                <w:rFonts w:asciiTheme="majorHAnsi" w:hAnsiTheme="majorHAnsi" w:cstheme="majorHAnsi"/>
                <w:sz w:val="16"/>
                <w:szCs w:val="16"/>
                <w:lang w:val="en-ZA"/>
              </w:rPr>
            </w:pPr>
            <w:r w:rsidRPr="00512434">
              <w:rPr>
                <w:rFonts w:asciiTheme="majorHAnsi" w:hAnsiTheme="majorHAnsi" w:cstheme="majorHAnsi"/>
                <w:sz w:val="16"/>
                <w:szCs w:val="16"/>
              </w:rPr>
              <w:t>20,442,980</w:t>
            </w:r>
          </w:p>
        </w:tc>
      </w:tr>
      <w:tr w:rsidR="00E06124" w:rsidRPr="008E10C6" w14:paraId="46D6407B" w14:textId="77777777" w:rsidTr="00512434">
        <w:trPr>
          <w:trHeight w:val="385"/>
          <w:jc w:val="center"/>
        </w:trPr>
        <w:tc>
          <w:tcPr>
            <w:tcW w:w="0" w:type="auto"/>
            <w:gridSpan w:val="7"/>
            <w:tcBorders>
              <w:top w:val="single" w:sz="4" w:space="0" w:color="auto"/>
              <w:left w:val="nil"/>
              <w:bottom w:val="nil"/>
              <w:right w:val="nil"/>
            </w:tcBorders>
            <w:noWrap/>
          </w:tcPr>
          <w:p w14:paraId="698F8E5E" w14:textId="77777777" w:rsidR="00E06124" w:rsidRDefault="00E06124" w:rsidP="00512434">
            <w:pPr>
              <w:spacing w:line="360" w:lineRule="auto"/>
              <w:jc w:val="both"/>
              <w:rPr>
                <w:rFonts w:asciiTheme="majorHAnsi" w:hAnsiTheme="majorHAnsi" w:cstheme="majorHAnsi"/>
                <w:sz w:val="16"/>
                <w:szCs w:val="16"/>
              </w:rPr>
            </w:pPr>
            <w:r>
              <w:rPr>
                <w:rFonts w:asciiTheme="majorHAnsi" w:hAnsiTheme="majorHAnsi" w:cstheme="majorHAnsi"/>
                <w:sz w:val="16"/>
                <w:szCs w:val="16"/>
              </w:rPr>
              <w:t>Notes:</w:t>
            </w:r>
            <w:r w:rsidRPr="008E10C6">
              <w:rPr>
                <w:rFonts w:asciiTheme="majorHAnsi" w:hAnsiTheme="majorHAnsi" w:cstheme="majorHAnsi"/>
                <w:sz w:val="16"/>
                <w:szCs w:val="16"/>
              </w:rPr>
              <w:t xml:space="preserve"> </w:t>
            </w:r>
            <w:r w:rsidRPr="00512434">
              <w:rPr>
                <w:rFonts w:asciiTheme="majorHAnsi" w:hAnsiTheme="majorHAnsi" w:cstheme="majorHAnsi"/>
                <w:sz w:val="16"/>
                <w:szCs w:val="16"/>
              </w:rPr>
              <w:t xml:space="preserve">Table 1 </w:t>
            </w:r>
            <w:r>
              <w:rPr>
                <w:rFonts w:asciiTheme="majorHAnsi" w:hAnsiTheme="majorHAnsi" w:cstheme="majorHAnsi"/>
                <w:sz w:val="16"/>
                <w:szCs w:val="16"/>
              </w:rPr>
              <w:t xml:space="preserve">shows the means values in ZAR of the key CIT variables  for </w:t>
            </w:r>
            <w:r w:rsidRPr="00512434">
              <w:rPr>
                <w:rFonts w:asciiTheme="majorHAnsi" w:hAnsiTheme="majorHAnsi" w:cstheme="majorHAnsi"/>
                <w:sz w:val="16"/>
                <w:szCs w:val="16"/>
              </w:rPr>
              <w:t>matched and unmatched farms. We only use the matching farm in the final sample.</w:t>
            </w:r>
          </w:p>
          <w:p w14:paraId="43559F8A" w14:textId="77777777" w:rsidR="00E06124" w:rsidRPr="008E10C6" w:rsidRDefault="00E06124" w:rsidP="00512434">
            <w:pPr>
              <w:spacing w:line="360" w:lineRule="auto"/>
              <w:jc w:val="both"/>
              <w:rPr>
                <w:rFonts w:asciiTheme="majorHAnsi" w:hAnsiTheme="majorHAnsi" w:cstheme="majorHAnsi"/>
                <w:sz w:val="16"/>
                <w:szCs w:val="16"/>
              </w:rPr>
            </w:pPr>
            <w:r>
              <w:rPr>
                <w:rFonts w:asciiTheme="majorHAnsi" w:hAnsiTheme="majorHAnsi" w:cstheme="majorHAnsi"/>
                <w:sz w:val="16"/>
                <w:szCs w:val="16"/>
              </w:rPr>
              <w:lastRenderedPageBreak/>
              <w:t>Source</w:t>
            </w:r>
            <w:r w:rsidRPr="008E10C6">
              <w:rPr>
                <w:rFonts w:asciiTheme="majorHAnsi" w:hAnsiTheme="majorHAnsi" w:cstheme="majorHAnsi"/>
                <w:sz w:val="16"/>
                <w:szCs w:val="16"/>
              </w:rPr>
              <w:t xml:space="preserve"> :</w:t>
            </w:r>
            <w:r w:rsidRPr="00512434">
              <w:rPr>
                <w:rFonts w:asciiTheme="majorHAnsi" w:hAnsiTheme="majorHAnsi" w:cstheme="majorHAnsi"/>
                <w:sz w:val="16"/>
                <w:szCs w:val="16"/>
              </w:rPr>
              <w:t>Authors computations from own datasets</w:t>
            </w:r>
            <w:r>
              <w:rPr>
                <w:rFonts w:asciiTheme="majorHAnsi" w:hAnsiTheme="majorHAnsi" w:cstheme="majorHAnsi"/>
                <w:sz w:val="16"/>
                <w:szCs w:val="16"/>
              </w:rPr>
              <w:t xml:space="preserve"> (CIT)</w:t>
            </w:r>
            <w:r w:rsidRPr="00512434">
              <w:rPr>
                <w:rFonts w:asciiTheme="majorHAnsi" w:hAnsiTheme="majorHAnsi" w:cstheme="majorHAnsi"/>
                <w:sz w:val="16"/>
                <w:szCs w:val="16"/>
              </w:rPr>
              <w:t xml:space="preserve"> based on National Treasury and UNU-WIDER (2021)</w:t>
            </w:r>
          </w:p>
        </w:tc>
      </w:tr>
    </w:tbl>
    <w:p w14:paraId="2474963D" w14:textId="77777777" w:rsidR="00E06124" w:rsidRDefault="00E06124" w:rsidP="00CF21D5">
      <w:pPr>
        <w:spacing w:before="100" w:beforeAutospacing="1" w:after="100" w:afterAutospacing="1" w:line="360" w:lineRule="auto"/>
        <w:jc w:val="both"/>
        <w:rPr>
          <w:rFonts w:asciiTheme="majorHAnsi" w:hAnsiTheme="majorHAnsi" w:cstheme="majorHAnsi"/>
          <w:b/>
          <w:bCs/>
          <w:lang w:val="en-US"/>
        </w:rPr>
      </w:pPr>
    </w:p>
    <w:p w14:paraId="27B456B0" w14:textId="77777777" w:rsidR="00E06124" w:rsidRPr="00512434" w:rsidRDefault="00E06124" w:rsidP="00512434">
      <w:pPr>
        <w:pStyle w:val="Caption"/>
        <w:keepNext/>
        <w:rPr>
          <w:b/>
          <w:bCs/>
          <w:i w:val="0"/>
          <w:iCs w:val="0"/>
          <w:color w:val="000000" w:themeColor="text1"/>
        </w:rPr>
      </w:pPr>
      <w:r w:rsidRPr="00512434">
        <w:rPr>
          <w:b/>
          <w:bCs/>
          <w:i w:val="0"/>
          <w:iCs w:val="0"/>
          <w:color w:val="000000" w:themeColor="text1"/>
        </w:rPr>
        <w:t xml:space="preserve">Table </w:t>
      </w:r>
      <w:r w:rsidRPr="00512434">
        <w:rPr>
          <w:b/>
          <w:bCs/>
          <w:i w:val="0"/>
          <w:iCs w:val="0"/>
          <w:color w:val="000000" w:themeColor="text1"/>
        </w:rPr>
        <w:fldChar w:fldCharType="begin"/>
      </w:r>
      <w:r w:rsidRPr="00512434">
        <w:rPr>
          <w:b/>
          <w:bCs/>
          <w:i w:val="0"/>
          <w:iCs w:val="0"/>
          <w:color w:val="000000" w:themeColor="text1"/>
        </w:rPr>
        <w:instrText xml:space="preserve"> SEQ Table \* ARABIC </w:instrText>
      </w:r>
      <w:r w:rsidRPr="00512434">
        <w:rPr>
          <w:b/>
          <w:bCs/>
          <w:i w:val="0"/>
          <w:iCs w:val="0"/>
          <w:color w:val="000000" w:themeColor="text1"/>
        </w:rPr>
        <w:fldChar w:fldCharType="separate"/>
      </w:r>
      <w:r>
        <w:rPr>
          <w:b/>
          <w:bCs/>
          <w:i w:val="0"/>
          <w:iCs w:val="0"/>
          <w:noProof/>
          <w:color w:val="000000" w:themeColor="text1"/>
        </w:rPr>
        <w:t>2</w:t>
      </w:r>
      <w:r w:rsidRPr="00512434">
        <w:rPr>
          <w:b/>
          <w:bCs/>
          <w:i w:val="0"/>
          <w:iCs w:val="0"/>
          <w:color w:val="000000" w:themeColor="text1"/>
        </w:rPr>
        <w:fldChar w:fldCharType="end"/>
      </w:r>
      <w:r w:rsidRPr="00512434">
        <w:rPr>
          <w:b/>
          <w:bCs/>
          <w:i w:val="0"/>
          <w:iCs w:val="0"/>
          <w:color w:val="000000" w:themeColor="text1"/>
        </w:rPr>
        <w:t>: Time series values  of labour cost, e</w:t>
      </w:r>
      <w:r>
        <w:rPr>
          <w:b/>
          <w:bCs/>
          <w:i w:val="0"/>
          <w:iCs w:val="0"/>
          <w:color w:val="000000" w:themeColor="text1"/>
        </w:rPr>
        <w:t>m</w:t>
      </w:r>
      <w:r w:rsidRPr="00512434">
        <w:rPr>
          <w:b/>
          <w:bCs/>
          <w:i w:val="0"/>
          <w:iCs w:val="0"/>
          <w:color w:val="000000" w:themeColor="text1"/>
        </w:rPr>
        <w:t>ployment, capital and revenue</w:t>
      </w:r>
    </w:p>
    <w:tbl>
      <w:tblPr>
        <w:tblW w:w="9928" w:type="dxa"/>
        <w:tblLook w:val="04A0" w:firstRow="1" w:lastRow="0" w:firstColumn="1" w:lastColumn="0" w:noHBand="0" w:noVBand="1"/>
      </w:tblPr>
      <w:tblGrid>
        <w:gridCol w:w="1248"/>
        <w:gridCol w:w="2060"/>
        <w:gridCol w:w="1820"/>
        <w:gridCol w:w="2240"/>
        <w:gridCol w:w="2560"/>
      </w:tblGrid>
      <w:tr w:rsidR="00E06124" w:rsidRPr="00512434" w14:paraId="2ED55754" w14:textId="77777777" w:rsidTr="008F42A0">
        <w:trPr>
          <w:trHeight w:val="300"/>
        </w:trPr>
        <w:tc>
          <w:tcPr>
            <w:tcW w:w="1248" w:type="dxa"/>
            <w:tcBorders>
              <w:top w:val="single" w:sz="4" w:space="0" w:color="auto"/>
              <w:left w:val="nil"/>
              <w:bottom w:val="single" w:sz="8" w:space="0" w:color="auto"/>
              <w:right w:val="nil"/>
            </w:tcBorders>
            <w:shd w:val="clear" w:color="auto" w:fill="auto"/>
            <w:noWrap/>
            <w:vAlign w:val="bottom"/>
            <w:hideMark/>
          </w:tcPr>
          <w:p w14:paraId="4C6E5E13" w14:textId="77777777" w:rsidR="00E06124" w:rsidRPr="00512434" w:rsidRDefault="00E06124" w:rsidP="00A75223">
            <w:pPr>
              <w:jc w:val="center"/>
              <w:rPr>
                <w:rFonts w:asciiTheme="majorHAnsi" w:eastAsia="Times New Roman" w:hAnsiTheme="majorHAnsi" w:cstheme="majorHAnsi"/>
                <w:b/>
                <w:bCs/>
                <w:color w:val="000000"/>
                <w:sz w:val="16"/>
                <w:szCs w:val="16"/>
                <w:lang w:eastAsia="en-GB"/>
              </w:rPr>
            </w:pPr>
            <w:r w:rsidRPr="00512434">
              <w:rPr>
                <w:rFonts w:asciiTheme="majorHAnsi" w:eastAsia="Calibri Light" w:hAnsiTheme="majorHAnsi" w:cstheme="majorHAnsi"/>
                <w:b/>
                <w:bCs/>
                <w:color w:val="000000"/>
                <w:sz w:val="16"/>
                <w:szCs w:val="16"/>
                <w:lang w:val="en-US" w:eastAsia="en-GB"/>
              </w:rPr>
              <w:t>Tax year</w:t>
            </w:r>
          </w:p>
        </w:tc>
        <w:tc>
          <w:tcPr>
            <w:tcW w:w="2060" w:type="dxa"/>
            <w:tcBorders>
              <w:top w:val="single" w:sz="4" w:space="0" w:color="auto"/>
              <w:left w:val="nil"/>
              <w:bottom w:val="single" w:sz="8" w:space="0" w:color="auto"/>
              <w:right w:val="nil"/>
            </w:tcBorders>
            <w:shd w:val="clear" w:color="auto" w:fill="auto"/>
            <w:noWrap/>
            <w:vAlign w:val="bottom"/>
            <w:hideMark/>
          </w:tcPr>
          <w:p w14:paraId="411BEB53" w14:textId="77777777" w:rsidR="00E06124" w:rsidRPr="00512434" w:rsidRDefault="00E06124" w:rsidP="00A75223">
            <w:pPr>
              <w:jc w:val="center"/>
              <w:rPr>
                <w:rFonts w:asciiTheme="majorHAnsi" w:eastAsia="Times New Roman" w:hAnsiTheme="majorHAnsi" w:cstheme="majorHAnsi"/>
                <w:b/>
                <w:bCs/>
                <w:color w:val="000000"/>
                <w:sz w:val="16"/>
                <w:szCs w:val="16"/>
                <w:lang w:eastAsia="en-GB"/>
              </w:rPr>
            </w:pPr>
            <w:proofErr w:type="spellStart"/>
            <w:r w:rsidRPr="00512434">
              <w:rPr>
                <w:rFonts w:asciiTheme="majorHAnsi" w:eastAsia="Calibri Light" w:hAnsiTheme="majorHAnsi" w:cstheme="majorHAnsi"/>
                <w:b/>
                <w:bCs/>
                <w:color w:val="000000"/>
                <w:sz w:val="16"/>
                <w:szCs w:val="16"/>
                <w:lang w:val="en-US" w:eastAsia="en-GB"/>
              </w:rPr>
              <w:t>Labour</w:t>
            </w:r>
            <w:proofErr w:type="spellEnd"/>
            <w:r w:rsidRPr="00512434">
              <w:rPr>
                <w:rFonts w:asciiTheme="majorHAnsi" w:eastAsia="Calibri Light" w:hAnsiTheme="majorHAnsi" w:cstheme="majorHAnsi"/>
                <w:b/>
                <w:bCs/>
                <w:color w:val="000000"/>
                <w:sz w:val="16"/>
                <w:szCs w:val="16"/>
                <w:lang w:val="en-US" w:eastAsia="en-GB"/>
              </w:rPr>
              <w:t xml:space="preserve"> cost</w:t>
            </w:r>
            <w:r>
              <w:rPr>
                <w:rFonts w:asciiTheme="majorHAnsi" w:eastAsia="Calibri Light" w:hAnsiTheme="majorHAnsi" w:cstheme="majorHAnsi"/>
                <w:b/>
                <w:bCs/>
                <w:color w:val="000000"/>
                <w:sz w:val="16"/>
                <w:szCs w:val="16"/>
                <w:lang w:val="en-US" w:eastAsia="en-GB"/>
              </w:rPr>
              <w:t xml:space="preserve"> (ZAR) </w:t>
            </w:r>
          </w:p>
        </w:tc>
        <w:tc>
          <w:tcPr>
            <w:tcW w:w="1820" w:type="dxa"/>
            <w:tcBorders>
              <w:top w:val="single" w:sz="4" w:space="0" w:color="auto"/>
              <w:left w:val="nil"/>
              <w:bottom w:val="single" w:sz="8" w:space="0" w:color="auto"/>
              <w:right w:val="nil"/>
            </w:tcBorders>
            <w:shd w:val="clear" w:color="auto" w:fill="auto"/>
            <w:noWrap/>
            <w:vAlign w:val="bottom"/>
            <w:hideMark/>
          </w:tcPr>
          <w:p w14:paraId="671FA29F" w14:textId="77777777" w:rsidR="00E06124" w:rsidRPr="00512434" w:rsidRDefault="00E06124" w:rsidP="00A75223">
            <w:pPr>
              <w:jc w:val="center"/>
              <w:rPr>
                <w:rFonts w:asciiTheme="majorHAnsi" w:eastAsia="Times New Roman" w:hAnsiTheme="majorHAnsi" w:cstheme="majorHAnsi"/>
                <w:b/>
                <w:bCs/>
                <w:color w:val="000000"/>
                <w:sz w:val="16"/>
                <w:szCs w:val="16"/>
                <w:lang w:eastAsia="en-GB"/>
              </w:rPr>
            </w:pPr>
            <w:r>
              <w:rPr>
                <w:rFonts w:asciiTheme="majorHAnsi" w:eastAsia="Calibri Light" w:hAnsiTheme="majorHAnsi" w:cstheme="majorHAnsi"/>
                <w:b/>
                <w:bCs/>
                <w:color w:val="000000"/>
                <w:sz w:val="16"/>
                <w:szCs w:val="16"/>
                <w:lang w:val="en-US" w:eastAsia="en-GB"/>
              </w:rPr>
              <w:t xml:space="preserve">Farm </w:t>
            </w:r>
            <w:r w:rsidRPr="00512434">
              <w:rPr>
                <w:rFonts w:asciiTheme="majorHAnsi" w:eastAsia="Calibri Light" w:hAnsiTheme="majorHAnsi" w:cstheme="majorHAnsi"/>
                <w:b/>
                <w:bCs/>
                <w:color w:val="000000"/>
                <w:sz w:val="16"/>
                <w:szCs w:val="16"/>
                <w:lang w:val="en-US" w:eastAsia="en-GB"/>
              </w:rPr>
              <w:t>Employment</w:t>
            </w:r>
            <w:r>
              <w:rPr>
                <w:rFonts w:asciiTheme="majorHAnsi" w:eastAsia="Calibri Light" w:hAnsiTheme="majorHAnsi" w:cstheme="majorHAnsi"/>
                <w:b/>
                <w:bCs/>
                <w:color w:val="000000"/>
                <w:sz w:val="16"/>
                <w:szCs w:val="16"/>
                <w:lang w:val="en-US" w:eastAsia="en-GB"/>
              </w:rPr>
              <w:t xml:space="preserve"> (ZAR) </w:t>
            </w:r>
          </w:p>
        </w:tc>
        <w:tc>
          <w:tcPr>
            <w:tcW w:w="2240" w:type="dxa"/>
            <w:tcBorders>
              <w:top w:val="single" w:sz="4" w:space="0" w:color="auto"/>
              <w:left w:val="nil"/>
              <w:bottom w:val="single" w:sz="8" w:space="0" w:color="auto"/>
              <w:right w:val="nil"/>
            </w:tcBorders>
            <w:shd w:val="clear" w:color="auto" w:fill="auto"/>
            <w:noWrap/>
            <w:vAlign w:val="bottom"/>
            <w:hideMark/>
          </w:tcPr>
          <w:p w14:paraId="43AE94F0" w14:textId="77777777" w:rsidR="00E06124" w:rsidRPr="00512434" w:rsidRDefault="00E06124" w:rsidP="00A75223">
            <w:pPr>
              <w:jc w:val="center"/>
              <w:rPr>
                <w:rFonts w:asciiTheme="majorHAnsi" w:eastAsia="Times New Roman" w:hAnsiTheme="majorHAnsi" w:cstheme="majorHAnsi"/>
                <w:b/>
                <w:bCs/>
                <w:color w:val="000000"/>
                <w:sz w:val="16"/>
                <w:szCs w:val="16"/>
                <w:lang w:eastAsia="en-GB"/>
              </w:rPr>
            </w:pPr>
            <w:r w:rsidRPr="00512434">
              <w:rPr>
                <w:rFonts w:asciiTheme="majorHAnsi" w:eastAsia="Calibri Light" w:hAnsiTheme="majorHAnsi" w:cstheme="majorHAnsi"/>
                <w:b/>
                <w:bCs/>
                <w:color w:val="000000"/>
                <w:sz w:val="16"/>
                <w:szCs w:val="16"/>
                <w:lang w:val="en-US" w:eastAsia="en-GB"/>
              </w:rPr>
              <w:t>Capital</w:t>
            </w:r>
            <w:r>
              <w:rPr>
                <w:rFonts w:asciiTheme="majorHAnsi" w:eastAsia="Calibri Light" w:hAnsiTheme="majorHAnsi" w:cstheme="majorHAnsi"/>
                <w:b/>
                <w:bCs/>
                <w:color w:val="000000"/>
                <w:sz w:val="16"/>
                <w:szCs w:val="16"/>
                <w:lang w:val="en-US" w:eastAsia="en-GB"/>
              </w:rPr>
              <w:t xml:space="preserve"> </w:t>
            </w:r>
            <w:proofErr w:type="spellStart"/>
            <w:r>
              <w:rPr>
                <w:rFonts w:asciiTheme="majorHAnsi" w:eastAsia="Calibri Light" w:hAnsiTheme="majorHAnsi" w:cstheme="majorHAnsi"/>
                <w:b/>
                <w:bCs/>
                <w:color w:val="000000"/>
                <w:sz w:val="16"/>
                <w:szCs w:val="16"/>
                <w:lang w:val="en-US" w:eastAsia="en-GB"/>
              </w:rPr>
              <w:t>Expenditire</w:t>
            </w:r>
            <w:proofErr w:type="spellEnd"/>
            <w:r>
              <w:rPr>
                <w:rFonts w:asciiTheme="majorHAnsi" w:eastAsia="Calibri Light" w:hAnsiTheme="majorHAnsi" w:cstheme="majorHAnsi"/>
                <w:b/>
                <w:bCs/>
                <w:color w:val="000000"/>
                <w:sz w:val="16"/>
                <w:szCs w:val="16"/>
                <w:lang w:val="en-US" w:eastAsia="en-GB"/>
              </w:rPr>
              <w:t xml:space="preserve">  (ZAR) </w:t>
            </w:r>
          </w:p>
        </w:tc>
        <w:tc>
          <w:tcPr>
            <w:tcW w:w="2560" w:type="dxa"/>
            <w:tcBorders>
              <w:top w:val="single" w:sz="4" w:space="0" w:color="auto"/>
              <w:left w:val="nil"/>
              <w:bottom w:val="single" w:sz="8" w:space="0" w:color="auto"/>
              <w:right w:val="nil"/>
            </w:tcBorders>
            <w:shd w:val="clear" w:color="auto" w:fill="auto"/>
            <w:noWrap/>
            <w:vAlign w:val="bottom"/>
            <w:hideMark/>
          </w:tcPr>
          <w:p w14:paraId="1B94999A" w14:textId="77777777" w:rsidR="00E06124" w:rsidRPr="00512434" w:rsidRDefault="00E06124" w:rsidP="00A75223">
            <w:pPr>
              <w:jc w:val="center"/>
              <w:rPr>
                <w:rFonts w:asciiTheme="majorHAnsi" w:eastAsia="Times New Roman" w:hAnsiTheme="majorHAnsi" w:cstheme="majorHAnsi"/>
                <w:b/>
                <w:bCs/>
                <w:color w:val="000000"/>
                <w:sz w:val="16"/>
                <w:szCs w:val="16"/>
                <w:lang w:eastAsia="en-GB"/>
              </w:rPr>
            </w:pPr>
            <w:r>
              <w:rPr>
                <w:rFonts w:asciiTheme="majorHAnsi" w:eastAsia="Calibri Light" w:hAnsiTheme="majorHAnsi" w:cstheme="majorHAnsi"/>
                <w:b/>
                <w:bCs/>
                <w:color w:val="000000"/>
                <w:sz w:val="16"/>
                <w:szCs w:val="16"/>
                <w:lang w:val="en-US" w:eastAsia="en-GB"/>
              </w:rPr>
              <w:t xml:space="preserve">Sales </w:t>
            </w:r>
            <w:r w:rsidRPr="00512434">
              <w:rPr>
                <w:rFonts w:asciiTheme="majorHAnsi" w:eastAsia="Calibri Light" w:hAnsiTheme="majorHAnsi" w:cstheme="majorHAnsi"/>
                <w:b/>
                <w:bCs/>
                <w:color w:val="000000"/>
                <w:sz w:val="16"/>
                <w:szCs w:val="16"/>
                <w:lang w:val="en-US" w:eastAsia="en-GB"/>
              </w:rPr>
              <w:t>Revenue</w:t>
            </w:r>
            <w:r>
              <w:rPr>
                <w:rFonts w:asciiTheme="majorHAnsi" w:eastAsia="Calibri Light" w:hAnsiTheme="majorHAnsi" w:cstheme="majorHAnsi"/>
                <w:b/>
                <w:bCs/>
                <w:color w:val="000000"/>
                <w:sz w:val="16"/>
                <w:szCs w:val="16"/>
                <w:lang w:val="en-US" w:eastAsia="en-GB"/>
              </w:rPr>
              <w:t xml:space="preserve"> (ZAR) </w:t>
            </w:r>
          </w:p>
        </w:tc>
      </w:tr>
      <w:tr w:rsidR="00E06124" w:rsidRPr="00512434" w14:paraId="7C59C449" w14:textId="77777777" w:rsidTr="008F42A0">
        <w:trPr>
          <w:trHeight w:val="288"/>
        </w:trPr>
        <w:tc>
          <w:tcPr>
            <w:tcW w:w="1248" w:type="dxa"/>
            <w:tcBorders>
              <w:top w:val="nil"/>
              <w:left w:val="nil"/>
              <w:bottom w:val="nil"/>
              <w:right w:val="nil"/>
            </w:tcBorders>
            <w:shd w:val="clear" w:color="auto" w:fill="auto"/>
            <w:noWrap/>
            <w:vAlign w:val="bottom"/>
            <w:hideMark/>
          </w:tcPr>
          <w:p w14:paraId="4983F5B3"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Pr>
                <w:rFonts w:asciiTheme="majorHAnsi" w:eastAsia="Calibri Light" w:hAnsiTheme="majorHAnsi" w:cstheme="majorHAnsi"/>
                <w:color w:val="000000"/>
                <w:sz w:val="16"/>
                <w:szCs w:val="16"/>
                <w:lang w:val="en-US" w:eastAsia="en-GB"/>
              </w:rPr>
              <w:t>2010/</w:t>
            </w:r>
            <w:r w:rsidRPr="00512434">
              <w:rPr>
                <w:rFonts w:asciiTheme="majorHAnsi" w:eastAsia="Calibri Light" w:hAnsiTheme="majorHAnsi" w:cstheme="majorHAnsi"/>
                <w:color w:val="000000"/>
                <w:sz w:val="16"/>
                <w:szCs w:val="16"/>
                <w:lang w:val="en-US" w:eastAsia="en-GB"/>
              </w:rPr>
              <w:t>2011</w:t>
            </w:r>
          </w:p>
        </w:tc>
        <w:tc>
          <w:tcPr>
            <w:tcW w:w="2060" w:type="dxa"/>
            <w:tcBorders>
              <w:top w:val="nil"/>
              <w:left w:val="nil"/>
              <w:bottom w:val="nil"/>
              <w:right w:val="nil"/>
            </w:tcBorders>
            <w:shd w:val="clear" w:color="auto" w:fill="auto"/>
            <w:noWrap/>
            <w:vAlign w:val="bottom"/>
            <w:hideMark/>
          </w:tcPr>
          <w:p w14:paraId="6675B91B"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1,003,962,564,608</w:t>
            </w:r>
          </w:p>
        </w:tc>
        <w:tc>
          <w:tcPr>
            <w:tcW w:w="1820" w:type="dxa"/>
            <w:tcBorders>
              <w:top w:val="nil"/>
              <w:left w:val="nil"/>
              <w:bottom w:val="nil"/>
              <w:right w:val="nil"/>
            </w:tcBorders>
            <w:shd w:val="clear" w:color="auto" w:fill="auto"/>
            <w:noWrap/>
            <w:vAlign w:val="bottom"/>
            <w:hideMark/>
          </w:tcPr>
          <w:p w14:paraId="4D4B1BEC"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210,841</w:t>
            </w:r>
          </w:p>
        </w:tc>
        <w:tc>
          <w:tcPr>
            <w:tcW w:w="2240" w:type="dxa"/>
            <w:tcBorders>
              <w:top w:val="nil"/>
              <w:left w:val="nil"/>
              <w:bottom w:val="nil"/>
              <w:right w:val="nil"/>
            </w:tcBorders>
            <w:shd w:val="clear" w:color="auto" w:fill="auto"/>
            <w:noWrap/>
            <w:vAlign w:val="bottom"/>
            <w:hideMark/>
          </w:tcPr>
          <w:p w14:paraId="557B01C7"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2,981,089,247,232</w:t>
            </w:r>
          </w:p>
        </w:tc>
        <w:tc>
          <w:tcPr>
            <w:tcW w:w="2560" w:type="dxa"/>
            <w:tcBorders>
              <w:top w:val="nil"/>
              <w:left w:val="nil"/>
              <w:bottom w:val="nil"/>
              <w:right w:val="nil"/>
            </w:tcBorders>
            <w:shd w:val="clear" w:color="auto" w:fill="auto"/>
            <w:noWrap/>
            <w:vAlign w:val="bottom"/>
            <w:hideMark/>
          </w:tcPr>
          <w:p w14:paraId="6B000F59"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10,507,942,625,280</w:t>
            </w:r>
          </w:p>
        </w:tc>
      </w:tr>
      <w:tr w:rsidR="00E06124" w:rsidRPr="00512434" w14:paraId="4BE175F5" w14:textId="77777777" w:rsidTr="008F42A0">
        <w:trPr>
          <w:trHeight w:val="288"/>
        </w:trPr>
        <w:tc>
          <w:tcPr>
            <w:tcW w:w="1248" w:type="dxa"/>
            <w:tcBorders>
              <w:top w:val="nil"/>
              <w:left w:val="nil"/>
              <w:bottom w:val="nil"/>
              <w:right w:val="nil"/>
            </w:tcBorders>
            <w:shd w:val="clear" w:color="auto" w:fill="auto"/>
            <w:noWrap/>
            <w:vAlign w:val="bottom"/>
            <w:hideMark/>
          </w:tcPr>
          <w:p w14:paraId="1ACC2792"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Pr>
                <w:rFonts w:asciiTheme="majorHAnsi" w:eastAsia="Calibri Light" w:hAnsiTheme="majorHAnsi" w:cstheme="majorHAnsi"/>
                <w:color w:val="000000"/>
                <w:sz w:val="16"/>
                <w:szCs w:val="16"/>
                <w:lang w:val="en-US" w:eastAsia="en-GB"/>
              </w:rPr>
              <w:t>2011/</w:t>
            </w:r>
            <w:r w:rsidRPr="00512434">
              <w:rPr>
                <w:rFonts w:asciiTheme="majorHAnsi" w:eastAsia="Calibri Light" w:hAnsiTheme="majorHAnsi" w:cstheme="majorHAnsi"/>
                <w:color w:val="000000"/>
                <w:sz w:val="16"/>
                <w:szCs w:val="16"/>
                <w:lang w:val="en-US" w:eastAsia="en-GB"/>
              </w:rPr>
              <w:t>2012</w:t>
            </w:r>
          </w:p>
        </w:tc>
        <w:tc>
          <w:tcPr>
            <w:tcW w:w="2060" w:type="dxa"/>
            <w:tcBorders>
              <w:top w:val="nil"/>
              <w:left w:val="nil"/>
              <w:bottom w:val="nil"/>
              <w:right w:val="nil"/>
            </w:tcBorders>
            <w:shd w:val="clear" w:color="auto" w:fill="auto"/>
            <w:noWrap/>
            <w:vAlign w:val="bottom"/>
            <w:hideMark/>
          </w:tcPr>
          <w:p w14:paraId="2516DA0B"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1,093,059,870,720</w:t>
            </w:r>
          </w:p>
        </w:tc>
        <w:tc>
          <w:tcPr>
            <w:tcW w:w="1820" w:type="dxa"/>
            <w:tcBorders>
              <w:top w:val="nil"/>
              <w:left w:val="nil"/>
              <w:bottom w:val="nil"/>
              <w:right w:val="nil"/>
            </w:tcBorders>
            <w:shd w:val="clear" w:color="auto" w:fill="auto"/>
            <w:noWrap/>
            <w:vAlign w:val="bottom"/>
            <w:hideMark/>
          </w:tcPr>
          <w:p w14:paraId="78B78ED7"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243,54</w:t>
            </w:r>
          </w:p>
        </w:tc>
        <w:tc>
          <w:tcPr>
            <w:tcW w:w="2240" w:type="dxa"/>
            <w:tcBorders>
              <w:top w:val="nil"/>
              <w:left w:val="nil"/>
              <w:bottom w:val="nil"/>
              <w:right w:val="nil"/>
            </w:tcBorders>
            <w:shd w:val="clear" w:color="auto" w:fill="auto"/>
            <w:noWrap/>
            <w:vAlign w:val="bottom"/>
            <w:hideMark/>
          </w:tcPr>
          <w:p w14:paraId="34EFCCCF"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3,674,502,332,416</w:t>
            </w:r>
          </w:p>
        </w:tc>
        <w:tc>
          <w:tcPr>
            <w:tcW w:w="2560" w:type="dxa"/>
            <w:tcBorders>
              <w:top w:val="nil"/>
              <w:left w:val="nil"/>
              <w:bottom w:val="nil"/>
              <w:right w:val="nil"/>
            </w:tcBorders>
            <w:shd w:val="clear" w:color="auto" w:fill="auto"/>
            <w:noWrap/>
            <w:vAlign w:val="bottom"/>
            <w:hideMark/>
          </w:tcPr>
          <w:p w14:paraId="6E910108"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11,340,643,041,280</w:t>
            </w:r>
          </w:p>
        </w:tc>
      </w:tr>
      <w:tr w:rsidR="00E06124" w:rsidRPr="00512434" w14:paraId="4DFF6AE4" w14:textId="77777777" w:rsidTr="008F42A0">
        <w:trPr>
          <w:trHeight w:val="288"/>
        </w:trPr>
        <w:tc>
          <w:tcPr>
            <w:tcW w:w="1248" w:type="dxa"/>
            <w:tcBorders>
              <w:top w:val="nil"/>
              <w:left w:val="nil"/>
              <w:bottom w:val="nil"/>
              <w:right w:val="nil"/>
            </w:tcBorders>
            <w:shd w:val="clear" w:color="auto" w:fill="auto"/>
            <w:noWrap/>
            <w:vAlign w:val="bottom"/>
            <w:hideMark/>
          </w:tcPr>
          <w:p w14:paraId="23772121"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Pr>
                <w:rFonts w:asciiTheme="majorHAnsi" w:eastAsia="Calibri Light" w:hAnsiTheme="majorHAnsi" w:cstheme="majorHAnsi"/>
                <w:color w:val="000000"/>
                <w:sz w:val="16"/>
                <w:szCs w:val="16"/>
                <w:lang w:val="en-US" w:eastAsia="en-GB"/>
              </w:rPr>
              <w:t>2012/</w:t>
            </w:r>
            <w:r w:rsidRPr="00512434">
              <w:rPr>
                <w:rFonts w:asciiTheme="majorHAnsi" w:eastAsia="Calibri Light" w:hAnsiTheme="majorHAnsi" w:cstheme="majorHAnsi"/>
                <w:color w:val="000000"/>
                <w:sz w:val="16"/>
                <w:szCs w:val="16"/>
                <w:lang w:val="en-US" w:eastAsia="en-GB"/>
              </w:rPr>
              <w:t>2013</w:t>
            </w:r>
          </w:p>
        </w:tc>
        <w:tc>
          <w:tcPr>
            <w:tcW w:w="2060" w:type="dxa"/>
            <w:tcBorders>
              <w:top w:val="nil"/>
              <w:left w:val="nil"/>
              <w:bottom w:val="nil"/>
              <w:right w:val="nil"/>
            </w:tcBorders>
            <w:shd w:val="clear" w:color="auto" w:fill="auto"/>
            <w:noWrap/>
            <w:vAlign w:val="bottom"/>
            <w:hideMark/>
          </w:tcPr>
          <w:p w14:paraId="2C3EC2C2"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1,185,175,175,168</w:t>
            </w:r>
          </w:p>
        </w:tc>
        <w:tc>
          <w:tcPr>
            <w:tcW w:w="1820" w:type="dxa"/>
            <w:tcBorders>
              <w:top w:val="nil"/>
              <w:left w:val="nil"/>
              <w:bottom w:val="nil"/>
              <w:right w:val="nil"/>
            </w:tcBorders>
            <w:shd w:val="clear" w:color="auto" w:fill="auto"/>
            <w:noWrap/>
            <w:vAlign w:val="bottom"/>
            <w:hideMark/>
          </w:tcPr>
          <w:p w14:paraId="7EC26929"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241,826</w:t>
            </w:r>
          </w:p>
        </w:tc>
        <w:tc>
          <w:tcPr>
            <w:tcW w:w="2240" w:type="dxa"/>
            <w:tcBorders>
              <w:top w:val="nil"/>
              <w:left w:val="nil"/>
              <w:bottom w:val="nil"/>
              <w:right w:val="nil"/>
            </w:tcBorders>
            <w:shd w:val="clear" w:color="auto" w:fill="auto"/>
            <w:noWrap/>
            <w:vAlign w:val="bottom"/>
            <w:hideMark/>
          </w:tcPr>
          <w:p w14:paraId="03493E30"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4,466,417,860,608</w:t>
            </w:r>
          </w:p>
        </w:tc>
        <w:tc>
          <w:tcPr>
            <w:tcW w:w="2560" w:type="dxa"/>
            <w:tcBorders>
              <w:top w:val="nil"/>
              <w:left w:val="nil"/>
              <w:bottom w:val="nil"/>
              <w:right w:val="nil"/>
            </w:tcBorders>
            <w:shd w:val="clear" w:color="auto" w:fill="auto"/>
            <w:noWrap/>
            <w:vAlign w:val="bottom"/>
            <w:hideMark/>
          </w:tcPr>
          <w:p w14:paraId="2BE36751"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12,357,276,270,592</w:t>
            </w:r>
          </w:p>
        </w:tc>
      </w:tr>
      <w:tr w:rsidR="00E06124" w:rsidRPr="00512434" w14:paraId="5047F892" w14:textId="77777777" w:rsidTr="008F42A0">
        <w:trPr>
          <w:trHeight w:val="288"/>
        </w:trPr>
        <w:tc>
          <w:tcPr>
            <w:tcW w:w="1248" w:type="dxa"/>
            <w:tcBorders>
              <w:top w:val="nil"/>
              <w:left w:val="nil"/>
              <w:bottom w:val="nil"/>
              <w:right w:val="nil"/>
            </w:tcBorders>
            <w:shd w:val="clear" w:color="auto" w:fill="auto"/>
            <w:noWrap/>
            <w:vAlign w:val="bottom"/>
            <w:hideMark/>
          </w:tcPr>
          <w:p w14:paraId="5AB47CDA"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Pr>
                <w:rFonts w:asciiTheme="majorHAnsi" w:eastAsia="Calibri Light" w:hAnsiTheme="majorHAnsi" w:cstheme="majorHAnsi"/>
                <w:color w:val="000000"/>
                <w:sz w:val="16"/>
                <w:szCs w:val="16"/>
                <w:lang w:val="en-US" w:eastAsia="en-GB"/>
              </w:rPr>
              <w:t>2013/</w:t>
            </w:r>
            <w:r w:rsidRPr="00512434">
              <w:rPr>
                <w:rFonts w:asciiTheme="majorHAnsi" w:eastAsia="Calibri Light" w:hAnsiTheme="majorHAnsi" w:cstheme="majorHAnsi"/>
                <w:color w:val="000000"/>
                <w:sz w:val="16"/>
                <w:szCs w:val="16"/>
                <w:lang w:val="en-US" w:eastAsia="en-GB"/>
              </w:rPr>
              <w:t>2014</w:t>
            </w:r>
          </w:p>
        </w:tc>
        <w:tc>
          <w:tcPr>
            <w:tcW w:w="2060" w:type="dxa"/>
            <w:tcBorders>
              <w:top w:val="nil"/>
              <w:left w:val="nil"/>
              <w:bottom w:val="nil"/>
              <w:right w:val="nil"/>
            </w:tcBorders>
            <w:shd w:val="clear" w:color="auto" w:fill="auto"/>
            <w:noWrap/>
            <w:vAlign w:val="bottom"/>
            <w:hideMark/>
          </w:tcPr>
          <w:p w14:paraId="592690BC"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1,252,043,915,264</w:t>
            </w:r>
          </w:p>
        </w:tc>
        <w:tc>
          <w:tcPr>
            <w:tcW w:w="1820" w:type="dxa"/>
            <w:tcBorders>
              <w:top w:val="nil"/>
              <w:left w:val="nil"/>
              <w:bottom w:val="nil"/>
              <w:right w:val="nil"/>
            </w:tcBorders>
            <w:shd w:val="clear" w:color="auto" w:fill="auto"/>
            <w:noWrap/>
            <w:vAlign w:val="bottom"/>
            <w:hideMark/>
          </w:tcPr>
          <w:p w14:paraId="378B5876"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239,65</w:t>
            </w:r>
          </w:p>
        </w:tc>
        <w:tc>
          <w:tcPr>
            <w:tcW w:w="2240" w:type="dxa"/>
            <w:tcBorders>
              <w:top w:val="nil"/>
              <w:left w:val="nil"/>
              <w:bottom w:val="nil"/>
              <w:right w:val="nil"/>
            </w:tcBorders>
            <w:shd w:val="clear" w:color="auto" w:fill="auto"/>
            <w:noWrap/>
            <w:vAlign w:val="bottom"/>
            <w:hideMark/>
          </w:tcPr>
          <w:p w14:paraId="77CD6A60"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4,737,278,148,608</w:t>
            </w:r>
          </w:p>
        </w:tc>
        <w:tc>
          <w:tcPr>
            <w:tcW w:w="2560" w:type="dxa"/>
            <w:tcBorders>
              <w:top w:val="nil"/>
              <w:left w:val="nil"/>
              <w:bottom w:val="nil"/>
              <w:right w:val="nil"/>
            </w:tcBorders>
            <w:shd w:val="clear" w:color="auto" w:fill="auto"/>
            <w:noWrap/>
            <w:vAlign w:val="bottom"/>
            <w:hideMark/>
          </w:tcPr>
          <w:p w14:paraId="1E76D7F8"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12,947,473,563,648</w:t>
            </w:r>
          </w:p>
        </w:tc>
      </w:tr>
      <w:tr w:rsidR="00E06124" w:rsidRPr="00512434" w14:paraId="7BF73EB4" w14:textId="77777777" w:rsidTr="008F42A0">
        <w:trPr>
          <w:trHeight w:val="288"/>
        </w:trPr>
        <w:tc>
          <w:tcPr>
            <w:tcW w:w="1248" w:type="dxa"/>
            <w:tcBorders>
              <w:top w:val="nil"/>
              <w:left w:val="nil"/>
              <w:bottom w:val="nil"/>
              <w:right w:val="nil"/>
            </w:tcBorders>
            <w:shd w:val="clear" w:color="auto" w:fill="auto"/>
            <w:noWrap/>
            <w:vAlign w:val="bottom"/>
            <w:hideMark/>
          </w:tcPr>
          <w:p w14:paraId="7417CAB5"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Pr>
                <w:rFonts w:asciiTheme="majorHAnsi" w:eastAsia="Calibri Light" w:hAnsiTheme="majorHAnsi" w:cstheme="majorHAnsi"/>
                <w:color w:val="000000"/>
                <w:sz w:val="16"/>
                <w:szCs w:val="16"/>
                <w:lang w:val="en-US" w:eastAsia="en-GB"/>
              </w:rPr>
              <w:t>2014/</w:t>
            </w:r>
            <w:r w:rsidRPr="00512434">
              <w:rPr>
                <w:rFonts w:asciiTheme="majorHAnsi" w:eastAsia="Calibri Light" w:hAnsiTheme="majorHAnsi" w:cstheme="majorHAnsi"/>
                <w:color w:val="000000"/>
                <w:sz w:val="16"/>
                <w:szCs w:val="16"/>
                <w:lang w:val="en-US" w:eastAsia="en-GB"/>
              </w:rPr>
              <w:t>2015</w:t>
            </w:r>
          </w:p>
        </w:tc>
        <w:tc>
          <w:tcPr>
            <w:tcW w:w="2060" w:type="dxa"/>
            <w:tcBorders>
              <w:top w:val="nil"/>
              <w:left w:val="nil"/>
              <w:bottom w:val="nil"/>
              <w:right w:val="nil"/>
            </w:tcBorders>
            <w:shd w:val="clear" w:color="auto" w:fill="auto"/>
            <w:noWrap/>
            <w:vAlign w:val="bottom"/>
            <w:hideMark/>
          </w:tcPr>
          <w:p w14:paraId="4FC88182"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1,312,030,982,144</w:t>
            </w:r>
          </w:p>
        </w:tc>
        <w:tc>
          <w:tcPr>
            <w:tcW w:w="1820" w:type="dxa"/>
            <w:tcBorders>
              <w:top w:val="nil"/>
              <w:left w:val="nil"/>
              <w:bottom w:val="nil"/>
              <w:right w:val="nil"/>
            </w:tcBorders>
            <w:shd w:val="clear" w:color="auto" w:fill="auto"/>
            <w:noWrap/>
            <w:vAlign w:val="bottom"/>
            <w:hideMark/>
          </w:tcPr>
          <w:p w14:paraId="5A1D2686"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258,086</w:t>
            </w:r>
          </w:p>
        </w:tc>
        <w:tc>
          <w:tcPr>
            <w:tcW w:w="2240" w:type="dxa"/>
            <w:tcBorders>
              <w:top w:val="nil"/>
              <w:left w:val="nil"/>
              <w:bottom w:val="nil"/>
              <w:right w:val="nil"/>
            </w:tcBorders>
            <w:shd w:val="clear" w:color="auto" w:fill="auto"/>
            <w:noWrap/>
            <w:vAlign w:val="bottom"/>
            <w:hideMark/>
          </w:tcPr>
          <w:p w14:paraId="2B5BDBC4"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5,079,629,824,000</w:t>
            </w:r>
          </w:p>
        </w:tc>
        <w:tc>
          <w:tcPr>
            <w:tcW w:w="2560" w:type="dxa"/>
            <w:tcBorders>
              <w:top w:val="nil"/>
              <w:left w:val="nil"/>
              <w:bottom w:val="nil"/>
              <w:right w:val="nil"/>
            </w:tcBorders>
            <w:shd w:val="clear" w:color="auto" w:fill="auto"/>
            <w:noWrap/>
            <w:vAlign w:val="bottom"/>
            <w:hideMark/>
          </w:tcPr>
          <w:p w14:paraId="7E0AB60E"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13,254,987,350,016</w:t>
            </w:r>
          </w:p>
        </w:tc>
      </w:tr>
      <w:tr w:rsidR="00E06124" w:rsidRPr="00512434" w14:paraId="05C93AF3" w14:textId="77777777" w:rsidTr="00512434">
        <w:trPr>
          <w:trHeight w:val="345"/>
        </w:trPr>
        <w:tc>
          <w:tcPr>
            <w:tcW w:w="1248" w:type="dxa"/>
            <w:tcBorders>
              <w:top w:val="nil"/>
              <w:left w:val="nil"/>
              <w:bottom w:val="nil"/>
              <w:right w:val="nil"/>
            </w:tcBorders>
            <w:shd w:val="clear" w:color="auto" w:fill="auto"/>
            <w:noWrap/>
            <w:vAlign w:val="bottom"/>
            <w:hideMark/>
          </w:tcPr>
          <w:p w14:paraId="572D76E6"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Pr>
                <w:rFonts w:asciiTheme="majorHAnsi" w:eastAsia="Calibri Light" w:hAnsiTheme="majorHAnsi" w:cstheme="majorHAnsi"/>
                <w:color w:val="000000"/>
                <w:sz w:val="16"/>
                <w:szCs w:val="16"/>
                <w:lang w:val="en-US" w:eastAsia="en-GB"/>
              </w:rPr>
              <w:t>2015/</w:t>
            </w:r>
            <w:r w:rsidRPr="00512434">
              <w:rPr>
                <w:rFonts w:asciiTheme="majorHAnsi" w:eastAsia="Calibri Light" w:hAnsiTheme="majorHAnsi" w:cstheme="majorHAnsi"/>
                <w:color w:val="000000"/>
                <w:sz w:val="16"/>
                <w:szCs w:val="16"/>
                <w:lang w:val="en-US" w:eastAsia="en-GB"/>
              </w:rPr>
              <w:t>2016</w:t>
            </w:r>
          </w:p>
        </w:tc>
        <w:tc>
          <w:tcPr>
            <w:tcW w:w="2060" w:type="dxa"/>
            <w:tcBorders>
              <w:top w:val="nil"/>
              <w:left w:val="nil"/>
              <w:bottom w:val="nil"/>
              <w:right w:val="nil"/>
            </w:tcBorders>
            <w:shd w:val="clear" w:color="auto" w:fill="auto"/>
            <w:noWrap/>
            <w:vAlign w:val="bottom"/>
            <w:hideMark/>
          </w:tcPr>
          <w:p w14:paraId="06374AF9"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1,296,707,223,552</w:t>
            </w:r>
          </w:p>
        </w:tc>
        <w:tc>
          <w:tcPr>
            <w:tcW w:w="1820" w:type="dxa"/>
            <w:tcBorders>
              <w:top w:val="nil"/>
              <w:left w:val="nil"/>
              <w:bottom w:val="nil"/>
              <w:right w:val="nil"/>
            </w:tcBorders>
            <w:shd w:val="clear" w:color="auto" w:fill="auto"/>
            <w:noWrap/>
            <w:vAlign w:val="bottom"/>
            <w:hideMark/>
          </w:tcPr>
          <w:p w14:paraId="1243D7C6"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253,486</w:t>
            </w:r>
          </w:p>
        </w:tc>
        <w:tc>
          <w:tcPr>
            <w:tcW w:w="2240" w:type="dxa"/>
            <w:tcBorders>
              <w:top w:val="nil"/>
              <w:left w:val="nil"/>
              <w:bottom w:val="nil"/>
              <w:right w:val="nil"/>
            </w:tcBorders>
            <w:shd w:val="clear" w:color="auto" w:fill="auto"/>
            <w:noWrap/>
            <w:vAlign w:val="bottom"/>
            <w:hideMark/>
          </w:tcPr>
          <w:p w14:paraId="4FB98BF0"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5,328,326,885,376</w:t>
            </w:r>
          </w:p>
        </w:tc>
        <w:tc>
          <w:tcPr>
            <w:tcW w:w="2560" w:type="dxa"/>
            <w:tcBorders>
              <w:top w:val="nil"/>
              <w:left w:val="nil"/>
              <w:bottom w:val="nil"/>
              <w:right w:val="nil"/>
            </w:tcBorders>
            <w:shd w:val="clear" w:color="auto" w:fill="auto"/>
            <w:noWrap/>
            <w:vAlign w:val="bottom"/>
            <w:hideMark/>
          </w:tcPr>
          <w:p w14:paraId="1C3A5B31"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13,666,644,656,128</w:t>
            </w:r>
          </w:p>
        </w:tc>
      </w:tr>
      <w:tr w:rsidR="00E06124" w:rsidRPr="008F42A0" w14:paraId="7C0A8C85" w14:textId="77777777" w:rsidTr="008F42A0">
        <w:trPr>
          <w:trHeight w:val="300"/>
        </w:trPr>
        <w:tc>
          <w:tcPr>
            <w:tcW w:w="1248" w:type="dxa"/>
            <w:tcBorders>
              <w:top w:val="nil"/>
              <w:left w:val="nil"/>
              <w:bottom w:val="single" w:sz="4" w:space="0" w:color="auto"/>
              <w:right w:val="nil"/>
            </w:tcBorders>
            <w:shd w:val="clear" w:color="auto" w:fill="auto"/>
            <w:noWrap/>
            <w:vAlign w:val="bottom"/>
            <w:hideMark/>
          </w:tcPr>
          <w:p w14:paraId="13E72F15"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Pr>
                <w:rFonts w:asciiTheme="majorHAnsi" w:eastAsia="Calibri Light" w:hAnsiTheme="majorHAnsi" w:cstheme="majorHAnsi"/>
                <w:color w:val="000000"/>
                <w:sz w:val="16"/>
                <w:szCs w:val="16"/>
                <w:lang w:val="en-US" w:eastAsia="en-GB"/>
              </w:rPr>
              <w:t>2016/</w:t>
            </w:r>
            <w:r w:rsidRPr="00512434">
              <w:rPr>
                <w:rFonts w:asciiTheme="majorHAnsi" w:eastAsia="Calibri Light" w:hAnsiTheme="majorHAnsi" w:cstheme="majorHAnsi"/>
                <w:color w:val="000000"/>
                <w:sz w:val="16"/>
                <w:szCs w:val="16"/>
                <w:lang w:val="en-US" w:eastAsia="en-GB"/>
              </w:rPr>
              <w:t>2017</w:t>
            </w:r>
          </w:p>
        </w:tc>
        <w:tc>
          <w:tcPr>
            <w:tcW w:w="2060" w:type="dxa"/>
            <w:tcBorders>
              <w:top w:val="nil"/>
              <w:left w:val="nil"/>
              <w:bottom w:val="single" w:sz="4" w:space="0" w:color="auto"/>
              <w:right w:val="nil"/>
            </w:tcBorders>
            <w:shd w:val="clear" w:color="auto" w:fill="auto"/>
            <w:noWrap/>
            <w:vAlign w:val="bottom"/>
            <w:hideMark/>
          </w:tcPr>
          <w:p w14:paraId="2705F1F3"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1,262,382,219,264</w:t>
            </w:r>
          </w:p>
        </w:tc>
        <w:tc>
          <w:tcPr>
            <w:tcW w:w="1820" w:type="dxa"/>
            <w:tcBorders>
              <w:top w:val="nil"/>
              <w:left w:val="nil"/>
              <w:bottom w:val="single" w:sz="4" w:space="0" w:color="auto"/>
              <w:right w:val="nil"/>
            </w:tcBorders>
            <w:shd w:val="clear" w:color="auto" w:fill="auto"/>
            <w:noWrap/>
            <w:vAlign w:val="bottom"/>
            <w:hideMark/>
          </w:tcPr>
          <w:p w14:paraId="2A1FCF65"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265,705</w:t>
            </w:r>
          </w:p>
        </w:tc>
        <w:tc>
          <w:tcPr>
            <w:tcW w:w="2240" w:type="dxa"/>
            <w:tcBorders>
              <w:top w:val="nil"/>
              <w:left w:val="nil"/>
              <w:bottom w:val="single" w:sz="4" w:space="0" w:color="auto"/>
              <w:right w:val="nil"/>
            </w:tcBorders>
            <w:shd w:val="clear" w:color="auto" w:fill="auto"/>
            <w:noWrap/>
            <w:vAlign w:val="bottom"/>
            <w:hideMark/>
          </w:tcPr>
          <w:p w14:paraId="2164208C"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5,314,899,869,696</w:t>
            </w:r>
          </w:p>
        </w:tc>
        <w:tc>
          <w:tcPr>
            <w:tcW w:w="2560" w:type="dxa"/>
            <w:tcBorders>
              <w:top w:val="nil"/>
              <w:left w:val="nil"/>
              <w:bottom w:val="single" w:sz="4" w:space="0" w:color="auto"/>
              <w:right w:val="nil"/>
            </w:tcBorders>
            <w:shd w:val="clear" w:color="auto" w:fill="auto"/>
            <w:noWrap/>
            <w:vAlign w:val="bottom"/>
            <w:hideMark/>
          </w:tcPr>
          <w:p w14:paraId="19415FF2" w14:textId="77777777" w:rsidR="00E06124" w:rsidRPr="00512434" w:rsidRDefault="00E06124" w:rsidP="00A75223">
            <w:pPr>
              <w:jc w:val="center"/>
              <w:rPr>
                <w:rFonts w:asciiTheme="majorHAnsi" w:eastAsia="Times New Roman" w:hAnsiTheme="majorHAnsi" w:cstheme="majorHAnsi"/>
                <w:color w:val="000000"/>
                <w:sz w:val="16"/>
                <w:szCs w:val="16"/>
                <w:lang w:eastAsia="en-GB"/>
              </w:rPr>
            </w:pPr>
            <w:r w:rsidRPr="00512434">
              <w:rPr>
                <w:rFonts w:asciiTheme="majorHAnsi" w:eastAsia="Calibri Light" w:hAnsiTheme="majorHAnsi" w:cstheme="majorHAnsi"/>
                <w:color w:val="000000"/>
                <w:sz w:val="16"/>
                <w:szCs w:val="16"/>
                <w:lang w:val="en-US" w:eastAsia="en-GB"/>
              </w:rPr>
              <w:t>13,093,870,501,888</w:t>
            </w:r>
          </w:p>
        </w:tc>
      </w:tr>
      <w:tr w:rsidR="00E06124" w:rsidRPr="008F42A0" w14:paraId="208F90A0" w14:textId="77777777" w:rsidTr="008F42A0">
        <w:trPr>
          <w:trHeight w:val="300"/>
        </w:trPr>
        <w:tc>
          <w:tcPr>
            <w:tcW w:w="9928" w:type="dxa"/>
            <w:gridSpan w:val="5"/>
            <w:tcBorders>
              <w:top w:val="single" w:sz="4" w:space="0" w:color="auto"/>
              <w:left w:val="nil"/>
              <w:bottom w:val="single" w:sz="8" w:space="0" w:color="auto"/>
              <w:right w:val="nil"/>
            </w:tcBorders>
            <w:shd w:val="clear" w:color="auto" w:fill="auto"/>
            <w:noWrap/>
            <w:vAlign w:val="bottom"/>
          </w:tcPr>
          <w:p w14:paraId="3BBDC0B4" w14:textId="77777777" w:rsidR="00E06124" w:rsidRDefault="00E06124" w:rsidP="008F42A0">
            <w:pPr>
              <w:rPr>
                <w:rFonts w:asciiTheme="majorHAnsi" w:hAnsiTheme="majorHAnsi" w:cstheme="majorHAnsi"/>
                <w:sz w:val="16"/>
                <w:szCs w:val="16"/>
              </w:rPr>
            </w:pPr>
            <w:r>
              <w:rPr>
                <w:rFonts w:asciiTheme="majorHAnsi" w:hAnsiTheme="majorHAnsi" w:cstheme="majorHAnsi"/>
                <w:sz w:val="16"/>
                <w:szCs w:val="16"/>
              </w:rPr>
              <w:t xml:space="preserve">Notes: </w:t>
            </w:r>
            <w:r w:rsidRPr="002D323F">
              <w:rPr>
                <w:rFonts w:asciiTheme="majorHAnsi" w:hAnsiTheme="majorHAnsi" w:cstheme="majorHAnsi"/>
                <w:sz w:val="16"/>
                <w:szCs w:val="16"/>
              </w:rPr>
              <w:t>Table 2 shows the time series values</w:t>
            </w:r>
            <w:r>
              <w:rPr>
                <w:rFonts w:asciiTheme="majorHAnsi" w:hAnsiTheme="majorHAnsi" w:cstheme="majorHAnsi"/>
                <w:sz w:val="16"/>
                <w:szCs w:val="16"/>
              </w:rPr>
              <w:t xml:space="preserve">, from our final matched sample, </w:t>
            </w:r>
            <w:r w:rsidRPr="002D323F">
              <w:rPr>
                <w:rFonts w:asciiTheme="majorHAnsi" w:hAnsiTheme="majorHAnsi" w:cstheme="majorHAnsi"/>
                <w:sz w:val="16"/>
                <w:szCs w:val="16"/>
              </w:rPr>
              <w:t xml:space="preserve"> of the critical variables across the tax years covered in the sample.</w:t>
            </w:r>
            <w:r>
              <w:rPr>
                <w:rFonts w:asciiTheme="majorHAnsi" w:hAnsiTheme="majorHAnsi" w:cstheme="majorHAnsi"/>
                <w:sz w:val="16"/>
                <w:szCs w:val="16"/>
              </w:rPr>
              <w:t xml:space="preserve"> The values are reported in the South African Rand (ZAR) </w:t>
            </w:r>
          </w:p>
          <w:p w14:paraId="799692ED" w14:textId="77777777" w:rsidR="00E06124" w:rsidRPr="008F42A0" w:rsidRDefault="00E06124" w:rsidP="00512434">
            <w:pPr>
              <w:rPr>
                <w:rFonts w:asciiTheme="majorHAnsi" w:eastAsia="Calibri Light" w:hAnsiTheme="majorHAnsi" w:cstheme="majorHAnsi"/>
                <w:color w:val="000000"/>
                <w:sz w:val="16"/>
                <w:szCs w:val="16"/>
                <w:lang w:val="en-US" w:eastAsia="en-GB"/>
              </w:rPr>
            </w:pPr>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397BE4">
              <w:rPr>
                <w:rFonts w:asciiTheme="majorHAnsi" w:hAnsiTheme="majorHAnsi" w:cstheme="majorHAnsi"/>
                <w:sz w:val="16"/>
                <w:szCs w:val="16"/>
              </w:rPr>
              <w:t xml:space="preserve">Authors computations from own datasets </w:t>
            </w:r>
            <w:r>
              <w:rPr>
                <w:rFonts w:asciiTheme="majorHAnsi" w:hAnsiTheme="majorHAnsi" w:cstheme="majorHAnsi"/>
                <w:sz w:val="16"/>
                <w:szCs w:val="16"/>
              </w:rPr>
              <w:t xml:space="preserve">(CIT and IRP5) </w:t>
            </w:r>
            <w:r w:rsidRPr="00397BE4">
              <w:rPr>
                <w:rFonts w:asciiTheme="majorHAnsi" w:hAnsiTheme="majorHAnsi" w:cstheme="majorHAnsi"/>
                <w:sz w:val="16"/>
                <w:szCs w:val="16"/>
              </w:rPr>
              <w:t>based on National Treasury and UNU-WIDER (2021)</w:t>
            </w:r>
          </w:p>
        </w:tc>
      </w:tr>
    </w:tbl>
    <w:p w14:paraId="2C53F2CF" w14:textId="77777777" w:rsidR="00BA6BFE" w:rsidRDefault="00BA6BFE" w:rsidP="00BA6BFE">
      <w:pPr>
        <w:pStyle w:val="Caption"/>
        <w:keepNext/>
        <w:spacing w:line="360" w:lineRule="auto"/>
        <w:rPr>
          <w:rFonts w:asciiTheme="majorHAnsi" w:hAnsiTheme="majorHAnsi" w:cstheme="majorHAnsi"/>
          <w:i w:val="0"/>
          <w:iCs w:val="0"/>
          <w:color w:val="auto"/>
          <w:sz w:val="22"/>
          <w:szCs w:val="22"/>
          <w:lang w:val="en-US"/>
        </w:rPr>
      </w:pPr>
    </w:p>
    <w:p w14:paraId="39746DDE" w14:textId="24D57771" w:rsidR="00BA6BFE" w:rsidRPr="00BA6BFE" w:rsidRDefault="00BA6BFE" w:rsidP="00BA6BFE">
      <w:pPr>
        <w:pStyle w:val="Caption"/>
        <w:keepNext/>
        <w:spacing w:line="360" w:lineRule="auto"/>
        <w:jc w:val="both"/>
        <w:rPr>
          <w:rFonts w:asciiTheme="majorHAnsi" w:hAnsiTheme="majorHAnsi" w:cstheme="majorHAnsi"/>
          <w:i w:val="0"/>
          <w:iCs w:val="0"/>
          <w:color w:val="auto"/>
          <w:sz w:val="22"/>
          <w:szCs w:val="22"/>
          <w:lang w:val="en-US"/>
        </w:rPr>
      </w:pPr>
      <w:r w:rsidRPr="00BA6BFE">
        <w:rPr>
          <w:rFonts w:asciiTheme="majorHAnsi" w:hAnsiTheme="majorHAnsi" w:cstheme="majorHAnsi"/>
          <w:i w:val="0"/>
          <w:iCs w:val="0"/>
          <w:color w:val="auto"/>
          <w:sz w:val="22"/>
          <w:szCs w:val="22"/>
          <w:lang w:val="en-US"/>
        </w:rPr>
        <w:t>The "fraction affected" metric quantifies the proportion of workers on a farm, in the period preceding the policy change, whose earnings were below the impending minimum wage. Using data from the pre-policy period spanning 2011-2013, we construct this metric by calculating the mean share of these workers. This measure, which remains time-invariant for individual farms, varies between 0 and 1. Farms with minimal exposure to the wage shift tend to have values towards the lower end of this spectrum, while those most affected are positioned towards the higher end.</w:t>
      </w:r>
    </w:p>
    <w:p w14:paraId="2DFCF2AC" w14:textId="77777777" w:rsidR="00BA6BFE" w:rsidRPr="00BA6BFE" w:rsidRDefault="00BA6BFE" w:rsidP="00BA6BFE">
      <w:pPr>
        <w:pStyle w:val="Caption"/>
        <w:keepNext/>
        <w:spacing w:line="360" w:lineRule="auto"/>
        <w:jc w:val="both"/>
        <w:rPr>
          <w:rFonts w:asciiTheme="majorHAnsi" w:hAnsiTheme="majorHAnsi" w:cstheme="majorHAnsi"/>
          <w:i w:val="0"/>
          <w:iCs w:val="0"/>
          <w:color w:val="auto"/>
          <w:sz w:val="22"/>
          <w:szCs w:val="22"/>
          <w:lang w:val="en-US"/>
        </w:rPr>
      </w:pPr>
      <w:r w:rsidRPr="00BA6BFE">
        <w:rPr>
          <w:rFonts w:asciiTheme="majorHAnsi" w:hAnsiTheme="majorHAnsi" w:cstheme="majorHAnsi"/>
          <w:i w:val="0"/>
          <w:iCs w:val="0"/>
          <w:color w:val="auto"/>
          <w:sz w:val="22"/>
          <w:szCs w:val="22"/>
          <w:lang w:val="en-US"/>
        </w:rPr>
        <w:t>A more detailed depiction of this distribution is presented in Table 3 and Figure 1. Notably, over 15% of farms had already compensated all their labor above the prospective minimum wage threshold prior to its formal implementation, rendering them unaffected by the direct implications of the policy change. In contrast, nearly 5% of farms predominantly employed a workforce earning below the new wage benchmark. At the median, approximately 65% of farm workers were earning wages below this newly established threshold.</w:t>
      </w:r>
    </w:p>
    <w:p w14:paraId="6999B2AE" w14:textId="366DD123" w:rsidR="00E06124" w:rsidRPr="00512434" w:rsidRDefault="00E06124" w:rsidP="00BA6BFE">
      <w:pPr>
        <w:pStyle w:val="Caption"/>
        <w:keepNext/>
        <w:rPr>
          <w:b/>
          <w:bCs/>
          <w:i w:val="0"/>
          <w:iCs w:val="0"/>
          <w:color w:val="000000" w:themeColor="text1"/>
        </w:rPr>
      </w:pPr>
      <w:r w:rsidRPr="00512434">
        <w:rPr>
          <w:b/>
          <w:bCs/>
          <w:i w:val="0"/>
          <w:iCs w:val="0"/>
          <w:color w:val="000000" w:themeColor="text1"/>
        </w:rPr>
        <w:t xml:space="preserve">Table </w:t>
      </w:r>
      <w:r w:rsidRPr="00512434">
        <w:rPr>
          <w:b/>
          <w:bCs/>
          <w:i w:val="0"/>
          <w:iCs w:val="0"/>
          <w:color w:val="000000" w:themeColor="text1"/>
        </w:rPr>
        <w:fldChar w:fldCharType="begin"/>
      </w:r>
      <w:r w:rsidRPr="00512434">
        <w:rPr>
          <w:b/>
          <w:bCs/>
          <w:i w:val="0"/>
          <w:iCs w:val="0"/>
          <w:color w:val="000000" w:themeColor="text1"/>
        </w:rPr>
        <w:instrText xml:space="preserve"> SEQ Table \* ARABIC </w:instrText>
      </w:r>
      <w:r w:rsidRPr="00512434">
        <w:rPr>
          <w:b/>
          <w:bCs/>
          <w:i w:val="0"/>
          <w:iCs w:val="0"/>
          <w:color w:val="000000" w:themeColor="text1"/>
        </w:rPr>
        <w:fldChar w:fldCharType="separate"/>
      </w:r>
      <w:r w:rsidRPr="00512434">
        <w:rPr>
          <w:b/>
          <w:bCs/>
          <w:i w:val="0"/>
          <w:iCs w:val="0"/>
          <w:noProof/>
          <w:color w:val="000000" w:themeColor="text1"/>
        </w:rPr>
        <w:t>3</w:t>
      </w:r>
      <w:r w:rsidRPr="00512434">
        <w:rPr>
          <w:b/>
          <w:bCs/>
          <w:i w:val="0"/>
          <w:iCs w:val="0"/>
          <w:color w:val="000000" w:themeColor="text1"/>
        </w:rPr>
        <w:fldChar w:fldCharType="end"/>
      </w:r>
      <w:r w:rsidRPr="00512434">
        <w:rPr>
          <w:b/>
          <w:bCs/>
          <w:i w:val="0"/>
          <w:iCs w:val="0"/>
          <w:color w:val="000000" w:themeColor="text1"/>
        </w:rPr>
        <w:t>: Perce</w:t>
      </w:r>
      <w:r>
        <w:rPr>
          <w:b/>
          <w:bCs/>
          <w:i w:val="0"/>
          <w:iCs w:val="0"/>
          <w:color w:val="000000" w:themeColor="text1"/>
        </w:rPr>
        <w:t>ntiles of</w:t>
      </w:r>
      <w:r w:rsidRPr="00512434">
        <w:rPr>
          <w:b/>
          <w:bCs/>
          <w:i w:val="0"/>
          <w:iCs w:val="0"/>
          <w:color w:val="000000" w:themeColor="text1"/>
        </w:rPr>
        <w:t xml:space="preserve"> Fraction of aff</w:t>
      </w:r>
      <w:r>
        <w:rPr>
          <w:b/>
          <w:bCs/>
          <w:i w:val="0"/>
          <w:iCs w:val="0"/>
          <w:color w:val="000000" w:themeColor="text1"/>
        </w:rPr>
        <w:t xml:space="preserve">ected </w:t>
      </w:r>
      <w:r w:rsidRPr="00512434">
        <w:rPr>
          <w:b/>
          <w:bCs/>
          <w:i w:val="0"/>
          <w:iCs w:val="0"/>
          <w:color w:val="000000" w:themeColor="text1"/>
        </w:rPr>
        <w:t>workers</w:t>
      </w:r>
    </w:p>
    <w:tbl>
      <w:tblPr>
        <w:tblStyle w:val="TableGrid"/>
        <w:tblW w:w="9166" w:type="dxa"/>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3"/>
        <w:gridCol w:w="823"/>
        <w:gridCol w:w="823"/>
        <w:gridCol w:w="823"/>
        <w:gridCol w:w="822"/>
        <w:gridCol w:w="822"/>
        <w:gridCol w:w="822"/>
        <w:gridCol w:w="822"/>
        <w:gridCol w:w="822"/>
        <w:gridCol w:w="824"/>
      </w:tblGrid>
      <w:tr w:rsidR="00E06124" w:rsidRPr="002D323F" w14:paraId="2B540790" w14:textId="77777777" w:rsidTr="002D323F">
        <w:trPr>
          <w:trHeight w:val="219"/>
        </w:trPr>
        <w:tc>
          <w:tcPr>
            <w:tcW w:w="1763" w:type="dxa"/>
            <w:noWrap/>
            <w:hideMark/>
          </w:tcPr>
          <w:p w14:paraId="4868B52C"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rPr>
            </w:pPr>
            <w:r w:rsidRPr="00512434">
              <w:rPr>
                <w:rFonts w:asciiTheme="majorHAnsi" w:hAnsiTheme="majorHAnsi" w:cstheme="majorHAnsi"/>
                <w:sz w:val="18"/>
                <w:szCs w:val="18"/>
              </w:rPr>
              <w:t> </w:t>
            </w:r>
          </w:p>
        </w:tc>
        <w:tc>
          <w:tcPr>
            <w:tcW w:w="823" w:type="dxa"/>
            <w:noWrap/>
            <w:hideMark/>
          </w:tcPr>
          <w:p w14:paraId="73FB2B67"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w:t>
            </w:r>
          </w:p>
        </w:tc>
        <w:tc>
          <w:tcPr>
            <w:tcW w:w="823" w:type="dxa"/>
            <w:noWrap/>
            <w:hideMark/>
          </w:tcPr>
          <w:p w14:paraId="05BD0722"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5%</w:t>
            </w:r>
          </w:p>
        </w:tc>
        <w:tc>
          <w:tcPr>
            <w:tcW w:w="823" w:type="dxa"/>
            <w:noWrap/>
            <w:hideMark/>
          </w:tcPr>
          <w:p w14:paraId="3FC74871"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10%</w:t>
            </w:r>
          </w:p>
        </w:tc>
        <w:tc>
          <w:tcPr>
            <w:tcW w:w="822" w:type="dxa"/>
            <w:noWrap/>
            <w:hideMark/>
          </w:tcPr>
          <w:p w14:paraId="5B32ED84"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25%</w:t>
            </w:r>
          </w:p>
        </w:tc>
        <w:tc>
          <w:tcPr>
            <w:tcW w:w="822" w:type="dxa"/>
            <w:noWrap/>
            <w:hideMark/>
          </w:tcPr>
          <w:p w14:paraId="4BCED252"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50%</w:t>
            </w:r>
          </w:p>
        </w:tc>
        <w:tc>
          <w:tcPr>
            <w:tcW w:w="822" w:type="dxa"/>
            <w:noWrap/>
            <w:hideMark/>
          </w:tcPr>
          <w:p w14:paraId="586766CF"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75%</w:t>
            </w:r>
          </w:p>
        </w:tc>
        <w:tc>
          <w:tcPr>
            <w:tcW w:w="822" w:type="dxa"/>
            <w:noWrap/>
            <w:hideMark/>
          </w:tcPr>
          <w:p w14:paraId="11DFF6EF"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90%</w:t>
            </w:r>
          </w:p>
        </w:tc>
        <w:tc>
          <w:tcPr>
            <w:tcW w:w="822" w:type="dxa"/>
            <w:noWrap/>
            <w:hideMark/>
          </w:tcPr>
          <w:p w14:paraId="5810D93C"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95%</w:t>
            </w:r>
          </w:p>
        </w:tc>
        <w:tc>
          <w:tcPr>
            <w:tcW w:w="823" w:type="dxa"/>
            <w:noWrap/>
            <w:hideMark/>
          </w:tcPr>
          <w:p w14:paraId="196AA54C"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99%</w:t>
            </w:r>
          </w:p>
        </w:tc>
      </w:tr>
      <w:tr w:rsidR="00E06124" w:rsidRPr="002D323F" w14:paraId="17F54750" w14:textId="77777777" w:rsidTr="002D323F">
        <w:trPr>
          <w:trHeight w:val="229"/>
        </w:trPr>
        <w:tc>
          <w:tcPr>
            <w:tcW w:w="1763" w:type="dxa"/>
            <w:tcBorders>
              <w:bottom w:val="single" w:sz="4" w:space="0" w:color="auto"/>
            </w:tcBorders>
            <w:noWrap/>
            <w:hideMark/>
          </w:tcPr>
          <w:p w14:paraId="51B2E692" w14:textId="77777777" w:rsidR="00E06124" w:rsidRPr="00512434" w:rsidRDefault="00E06124" w:rsidP="00607240">
            <w:pPr>
              <w:spacing w:before="100" w:beforeAutospacing="1" w:after="100" w:afterAutospacing="1" w:line="360" w:lineRule="auto"/>
              <w:jc w:val="both"/>
              <w:rPr>
                <w:rFonts w:asciiTheme="majorHAnsi" w:hAnsiTheme="majorHAnsi" w:cstheme="majorHAnsi"/>
                <w:b/>
                <w:bCs/>
                <w:sz w:val="18"/>
                <w:szCs w:val="18"/>
                <w:lang w:val="en-ZA"/>
              </w:rPr>
            </w:pPr>
            <w:r w:rsidRPr="00512434">
              <w:rPr>
                <w:rFonts w:asciiTheme="majorHAnsi" w:hAnsiTheme="majorHAnsi" w:cstheme="majorHAnsi"/>
                <w:b/>
                <w:bCs/>
                <w:sz w:val="18"/>
                <w:szCs w:val="18"/>
              </w:rPr>
              <w:t>Fraction affected</w:t>
            </w:r>
          </w:p>
        </w:tc>
        <w:tc>
          <w:tcPr>
            <w:tcW w:w="823" w:type="dxa"/>
            <w:tcBorders>
              <w:bottom w:val="single" w:sz="4" w:space="0" w:color="auto"/>
            </w:tcBorders>
            <w:noWrap/>
            <w:hideMark/>
          </w:tcPr>
          <w:p w14:paraId="57443EE9"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3" w:type="dxa"/>
            <w:tcBorders>
              <w:bottom w:val="single" w:sz="4" w:space="0" w:color="auto"/>
            </w:tcBorders>
            <w:noWrap/>
            <w:hideMark/>
          </w:tcPr>
          <w:p w14:paraId="702E629C"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3" w:type="dxa"/>
            <w:tcBorders>
              <w:bottom w:val="single" w:sz="4" w:space="0" w:color="auto"/>
            </w:tcBorders>
            <w:noWrap/>
            <w:hideMark/>
          </w:tcPr>
          <w:p w14:paraId="3E89DF14"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0</w:t>
            </w:r>
          </w:p>
        </w:tc>
        <w:tc>
          <w:tcPr>
            <w:tcW w:w="822" w:type="dxa"/>
            <w:tcBorders>
              <w:bottom w:val="single" w:sz="4" w:space="0" w:color="auto"/>
            </w:tcBorders>
            <w:noWrap/>
            <w:hideMark/>
          </w:tcPr>
          <w:p w14:paraId="4A3FC507"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.27</w:t>
            </w:r>
          </w:p>
        </w:tc>
        <w:tc>
          <w:tcPr>
            <w:tcW w:w="822" w:type="dxa"/>
            <w:tcBorders>
              <w:bottom w:val="single" w:sz="4" w:space="0" w:color="auto"/>
            </w:tcBorders>
            <w:noWrap/>
            <w:hideMark/>
          </w:tcPr>
          <w:p w14:paraId="0B767151"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.65</w:t>
            </w:r>
          </w:p>
        </w:tc>
        <w:tc>
          <w:tcPr>
            <w:tcW w:w="822" w:type="dxa"/>
            <w:tcBorders>
              <w:bottom w:val="single" w:sz="4" w:space="0" w:color="auto"/>
            </w:tcBorders>
            <w:noWrap/>
            <w:hideMark/>
          </w:tcPr>
          <w:p w14:paraId="59E5E6BF"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.83</w:t>
            </w:r>
          </w:p>
        </w:tc>
        <w:tc>
          <w:tcPr>
            <w:tcW w:w="822" w:type="dxa"/>
            <w:tcBorders>
              <w:bottom w:val="single" w:sz="4" w:space="0" w:color="auto"/>
            </w:tcBorders>
            <w:noWrap/>
            <w:hideMark/>
          </w:tcPr>
          <w:p w14:paraId="63D221AC"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.94</w:t>
            </w:r>
          </w:p>
        </w:tc>
        <w:tc>
          <w:tcPr>
            <w:tcW w:w="822" w:type="dxa"/>
            <w:tcBorders>
              <w:bottom w:val="single" w:sz="4" w:space="0" w:color="auto"/>
            </w:tcBorders>
            <w:noWrap/>
            <w:hideMark/>
          </w:tcPr>
          <w:p w14:paraId="0F62C018"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.99</w:t>
            </w:r>
          </w:p>
        </w:tc>
        <w:tc>
          <w:tcPr>
            <w:tcW w:w="823" w:type="dxa"/>
            <w:tcBorders>
              <w:bottom w:val="single" w:sz="4" w:space="0" w:color="auto"/>
            </w:tcBorders>
            <w:noWrap/>
            <w:hideMark/>
          </w:tcPr>
          <w:p w14:paraId="5A700ED1" w14:textId="77777777" w:rsidR="00E06124" w:rsidRPr="00512434" w:rsidRDefault="00E06124" w:rsidP="00607240">
            <w:pPr>
              <w:spacing w:before="100" w:beforeAutospacing="1" w:after="100" w:afterAutospacing="1" w:line="360" w:lineRule="auto"/>
              <w:jc w:val="both"/>
              <w:rPr>
                <w:rFonts w:asciiTheme="majorHAnsi" w:hAnsiTheme="majorHAnsi" w:cstheme="majorHAnsi"/>
                <w:sz w:val="18"/>
                <w:szCs w:val="18"/>
                <w:lang w:val="en-ZA"/>
              </w:rPr>
            </w:pPr>
            <w:r w:rsidRPr="00512434">
              <w:rPr>
                <w:rFonts w:asciiTheme="majorHAnsi" w:hAnsiTheme="majorHAnsi" w:cstheme="majorHAnsi"/>
                <w:sz w:val="18"/>
                <w:szCs w:val="18"/>
              </w:rPr>
              <w:t>1</w:t>
            </w:r>
          </w:p>
        </w:tc>
      </w:tr>
      <w:tr w:rsidR="00E06124" w:rsidRPr="008F42A0" w14:paraId="41F3D36F" w14:textId="77777777" w:rsidTr="00512434">
        <w:trPr>
          <w:trHeight w:val="229"/>
        </w:trPr>
        <w:tc>
          <w:tcPr>
            <w:tcW w:w="9166" w:type="dxa"/>
            <w:gridSpan w:val="10"/>
            <w:tcBorders>
              <w:top w:val="single" w:sz="4" w:space="0" w:color="auto"/>
              <w:bottom w:val="nil"/>
            </w:tcBorders>
            <w:noWrap/>
          </w:tcPr>
          <w:p w14:paraId="37BD844E" w14:textId="77777777" w:rsidR="00E06124" w:rsidRDefault="00E06124" w:rsidP="00512434">
            <w:pPr>
              <w:spacing w:line="360" w:lineRule="auto"/>
              <w:jc w:val="both"/>
              <w:rPr>
                <w:rFonts w:asciiTheme="majorHAnsi" w:hAnsiTheme="majorHAnsi" w:cstheme="majorHAnsi"/>
                <w:sz w:val="16"/>
                <w:szCs w:val="16"/>
              </w:rPr>
            </w:pPr>
            <w:r>
              <w:rPr>
                <w:rFonts w:asciiTheme="majorHAnsi" w:hAnsiTheme="majorHAnsi" w:cstheme="majorHAnsi"/>
                <w:sz w:val="16"/>
                <w:szCs w:val="16"/>
              </w:rPr>
              <w:t xml:space="preserve">Notes : </w:t>
            </w:r>
            <w:r w:rsidRPr="002D323F">
              <w:rPr>
                <w:rFonts w:asciiTheme="majorHAnsi" w:hAnsiTheme="majorHAnsi" w:cstheme="majorHAnsi"/>
                <w:sz w:val="16"/>
                <w:szCs w:val="16"/>
              </w:rPr>
              <w:t xml:space="preserve">Table 3 shows the distribution of our treatment variable, a fraction of affected workers.  </w:t>
            </w:r>
          </w:p>
          <w:p w14:paraId="7C897FAC" w14:textId="77777777" w:rsidR="00E06124" w:rsidRPr="00512434" w:rsidRDefault="00E06124" w:rsidP="00512434">
            <w:pPr>
              <w:spacing w:line="360" w:lineRule="auto"/>
              <w:jc w:val="both"/>
              <w:rPr>
                <w:rFonts w:asciiTheme="majorHAnsi" w:hAnsiTheme="majorHAnsi" w:cstheme="majorHAnsi"/>
                <w:sz w:val="16"/>
                <w:szCs w:val="16"/>
              </w:rPr>
            </w:pPr>
            <w:r w:rsidRPr="00512434">
              <w:rPr>
                <w:rFonts w:asciiTheme="majorHAnsi" w:hAnsiTheme="majorHAnsi" w:cstheme="majorHAnsi"/>
                <w:sz w:val="16"/>
                <w:szCs w:val="16"/>
              </w:rPr>
              <w:t>Source :Authors computations from own datasets</w:t>
            </w:r>
            <w:r>
              <w:rPr>
                <w:rFonts w:asciiTheme="majorHAnsi" w:hAnsiTheme="majorHAnsi" w:cstheme="majorHAnsi"/>
                <w:sz w:val="16"/>
                <w:szCs w:val="16"/>
              </w:rPr>
              <w:t xml:space="preserve"> (IRP5) </w:t>
            </w:r>
            <w:r w:rsidRPr="00512434">
              <w:rPr>
                <w:rFonts w:asciiTheme="majorHAnsi" w:hAnsiTheme="majorHAnsi" w:cstheme="majorHAnsi"/>
                <w:sz w:val="16"/>
                <w:szCs w:val="16"/>
              </w:rPr>
              <w:t xml:space="preserve"> based on National Treasury and UNU-WIDER (2021)</w:t>
            </w:r>
          </w:p>
        </w:tc>
      </w:tr>
    </w:tbl>
    <w:p w14:paraId="42031D2B" w14:textId="77777777" w:rsidR="00E06124" w:rsidRDefault="00E06124" w:rsidP="00C86818">
      <w:pPr>
        <w:keepNext/>
        <w:spacing w:before="100" w:beforeAutospacing="1" w:after="100" w:afterAutospacing="1" w:line="360" w:lineRule="auto"/>
        <w:jc w:val="center"/>
      </w:pPr>
      <w:r>
        <w:rPr>
          <w:rFonts w:asciiTheme="majorHAnsi" w:hAnsiTheme="majorHAnsi" w:cstheme="majorHAnsi"/>
          <w:b/>
          <w:bCs/>
          <w:noProof/>
          <w:lang w:val="en-US"/>
        </w:rPr>
        <w:lastRenderedPageBreak/>
        <w:drawing>
          <wp:inline distT="0" distB="0" distL="0" distR="0" wp14:anchorId="5DCBB419" wp14:editId="6AC90263">
            <wp:extent cx="3726180" cy="248398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3743658" cy="2495633"/>
                    </a:xfrm>
                    <a:prstGeom prst="rect">
                      <a:avLst/>
                    </a:prstGeom>
                  </pic:spPr>
                </pic:pic>
              </a:graphicData>
            </a:graphic>
          </wp:inline>
        </w:drawing>
      </w:r>
    </w:p>
    <w:p w14:paraId="0C82DE47" w14:textId="77777777" w:rsidR="00E06124" w:rsidRDefault="00E06124" w:rsidP="00CF21D5">
      <w:pPr>
        <w:spacing w:before="100" w:beforeAutospacing="1" w:after="100" w:afterAutospacing="1" w:line="360" w:lineRule="auto"/>
        <w:jc w:val="both"/>
        <w:rPr>
          <w:rFonts w:asciiTheme="majorHAnsi" w:hAnsiTheme="majorHAnsi" w:cstheme="majorHAnsi"/>
          <w:b/>
          <w:bCs/>
          <w:lang w:val="en-US"/>
        </w:rPr>
      </w:pPr>
      <w:r w:rsidRPr="00512434">
        <w:rPr>
          <w:rFonts w:asciiTheme="majorHAnsi" w:hAnsiTheme="majorHAnsi" w:cstheme="majorHAnsi"/>
          <w:sz w:val="20"/>
          <w:szCs w:val="20"/>
        </w:rPr>
        <w:t>Figure 1 : Spike plot showing the distribution of the treatment variable (fraction of affected workers)</w:t>
      </w:r>
    </w:p>
    <w:p w14:paraId="2F8C2090" w14:textId="77777777" w:rsidR="004F2C1B" w:rsidRDefault="00BA6BFE" w:rsidP="00BA6BFE">
      <w:pPr>
        <w:keepNext/>
        <w:spacing w:before="100" w:beforeAutospacing="1" w:after="100" w:afterAutospacing="1" w:line="360" w:lineRule="auto"/>
        <w:jc w:val="both"/>
        <w:rPr>
          <w:rFonts w:asciiTheme="majorHAnsi" w:hAnsiTheme="majorHAnsi" w:cstheme="majorHAnsi"/>
          <w:lang w:val="en-US"/>
        </w:rPr>
      </w:pPr>
      <w:r w:rsidRPr="00BA6BFE">
        <w:rPr>
          <w:rFonts w:asciiTheme="majorHAnsi" w:hAnsiTheme="majorHAnsi" w:cstheme="majorHAnsi"/>
          <w:lang w:val="en-US"/>
        </w:rPr>
        <w:t>As depicted in Figure 2, our analysis reveals a positive yet modest correlation between the "fraction affected" metric and the total number of workers employed on the farm. This observation suggests that farms with larger workforces do not necessarily correspond to low-wage farms.</w:t>
      </w:r>
    </w:p>
    <w:p w14:paraId="7F7AAB32" w14:textId="6DAA0B9B" w:rsidR="00E06124" w:rsidRDefault="00E06124" w:rsidP="00BA6BFE">
      <w:pPr>
        <w:keepNext/>
        <w:spacing w:before="100" w:beforeAutospacing="1" w:after="100" w:afterAutospacing="1" w:line="360" w:lineRule="auto"/>
        <w:jc w:val="both"/>
      </w:pPr>
      <w:r>
        <w:rPr>
          <w:rFonts w:asciiTheme="majorHAnsi" w:hAnsiTheme="majorHAnsi" w:cstheme="majorHAnsi"/>
          <w:b/>
          <w:bCs/>
          <w:noProof/>
          <w:lang w:val="en-US"/>
        </w:rPr>
        <w:drawing>
          <wp:inline distT="0" distB="0" distL="0" distR="0" wp14:anchorId="3C6D91F7" wp14:editId="52859043">
            <wp:extent cx="4411980" cy="294115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423261" cy="2948677"/>
                    </a:xfrm>
                    <a:prstGeom prst="rect">
                      <a:avLst/>
                    </a:prstGeom>
                  </pic:spPr>
                </pic:pic>
              </a:graphicData>
            </a:graphic>
          </wp:inline>
        </w:drawing>
      </w:r>
    </w:p>
    <w:p w14:paraId="20069C78" w14:textId="77777777" w:rsidR="00E06124" w:rsidRPr="00512434" w:rsidRDefault="00E06124" w:rsidP="00512434">
      <w:r w:rsidRPr="00512434">
        <w:rPr>
          <w:rFonts w:asciiTheme="majorHAnsi" w:hAnsiTheme="majorHAnsi" w:cstheme="majorHAnsi"/>
        </w:rPr>
        <w:t>Figure 2 : Scatter plot showing the relationship between employment and fraction of affected worker</w:t>
      </w:r>
    </w:p>
    <w:p w14:paraId="38AD7273" w14:textId="77777777" w:rsidR="00E06124" w:rsidRPr="00512434" w:rsidRDefault="00E06124" w:rsidP="00512434">
      <w:pPr>
        <w:pStyle w:val="Caption"/>
        <w:spacing w:after="0"/>
        <w:jc w:val="both"/>
        <w:rPr>
          <w:rFonts w:asciiTheme="majorHAnsi" w:hAnsiTheme="majorHAnsi" w:cstheme="majorHAnsi"/>
          <w:b/>
          <w:bCs/>
          <w:i w:val="0"/>
          <w:iCs w:val="0"/>
          <w:color w:val="000000" w:themeColor="text1"/>
          <w:sz w:val="22"/>
          <w:szCs w:val="22"/>
          <w:lang w:val="en-US"/>
        </w:rPr>
      </w:pPr>
      <w:r w:rsidRPr="00512434">
        <w:rPr>
          <w:rFonts w:asciiTheme="majorHAnsi" w:hAnsiTheme="majorHAnsi" w:cstheme="majorHAnsi"/>
          <w:i w:val="0"/>
          <w:iCs w:val="0"/>
          <w:color w:val="000000" w:themeColor="text1"/>
          <w:sz w:val="20"/>
          <w:szCs w:val="20"/>
        </w:rPr>
        <w:t>Source: Authors computations from own datasets (CIT and IRP5)  based on National Treasury and UNU-WIDER (2021)</w:t>
      </w:r>
    </w:p>
    <w:p w14:paraId="710C6ADC" w14:textId="77777777" w:rsidR="00E06124" w:rsidRPr="00512434" w:rsidRDefault="00E06124" w:rsidP="00512434">
      <w:pPr>
        <w:spacing w:line="360" w:lineRule="auto"/>
        <w:jc w:val="both"/>
        <w:rPr>
          <w:rFonts w:asciiTheme="majorHAnsi" w:hAnsiTheme="majorHAnsi" w:cstheme="majorHAnsi"/>
          <w:b/>
          <w:bCs/>
        </w:rPr>
      </w:pPr>
    </w:p>
    <w:p w14:paraId="046C65E6" w14:textId="77777777" w:rsidR="00E06124" w:rsidRPr="001975D0" w:rsidRDefault="00E06124" w:rsidP="00C86818">
      <w:pPr>
        <w:pStyle w:val="ListParagraph"/>
        <w:numPr>
          <w:ilvl w:val="0"/>
          <w:numId w:val="17"/>
        </w:numPr>
        <w:spacing w:line="360" w:lineRule="auto"/>
        <w:jc w:val="both"/>
        <w:rPr>
          <w:rFonts w:asciiTheme="majorHAnsi" w:hAnsiTheme="majorHAnsi" w:cstheme="majorHAnsi"/>
          <w:b/>
          <w:bCs/>
        </w:rPr>
      </w:pPr>
      <w:r w:rsidRPr="001975D0">
        <w:rPr>
          <w:rFonts w:asciiTheme="majorHAnsi" w:hAnsiTheme="majorHAnsi" w:cstheme="majorHAnsi"/>
          <w:b/>
          <w:bCs/>
        </w:rPr>
        <w:t>Results and Discussion</w:t>
      </w:r>
    </w:p>
    <w:p w14:paraId="311270F3" w14:textId="6E1A336B" w:rsidR="00E06124" w:rsidRDefault="00BA6BFE" w:rsidP="00CF21D5">
      <w:pPr>
        <w:spacing w:line="360" w:lineRule="auto"/>
        <w:jc w:val="both"/>
        <w:rPr>
          <w:rFonts w:asciiTheme="majorHAnsi" w:hAnsiTheme="majorHAnsi" w:cstheme="majorHAnsi"/>
        </w:rPr>
      </w:pPr>
      <w:r w:rsidRPr="00BA6BFE">
        <w:rPr>
          <w:rFonts w:asciiTheme="majorHAnsi" w:hAnsiTheme="majorHAnsi" w:cstheme="majorHAnsi"/>
        </w:rPr>
        <w:lastRenderedPageBreak/>
        <w:t>This section presents the outcomes derived from our estimation of Equation 1. Detailed regression tables that underlie the coefficient plots presented here are available in Appendix A. As demonstrated in Figure 3, the implementation of the minimum wage legislation appears to have noticeable effects on both the overall labour expenditure and the per-employee labour cost for farms that primarily employ low-wage workers. While the total labour expenditure remains unchanged after the policy's introduction, a distinct increase is evident in the per-employee labour cost for these farms. This rise in per-employee cost, coupled with a static total labour expense, suggests potential reductions in employment. The intricacies of this phenomenon merit further in-depth examination, which we undertake in the subsequent discussion.</w:t>
      </w:r>
    </w:p>
    <w:p w14:paraId="068A9E0B" w14:textId="77777777" w:rsidR="004F2C1B" w:rsidRDefault="004F2C1B" w:rsidP="00CF21D5">
      <w:pPr>
        <w:spacing w:line="360" w:lineRule="auto"/>
        <w:jc w:val="both"/>
        <w:rPr>
          <w:rFonts w:asciiTheme="majorHAnsi" w:hAnsiTheme="majorHAnsi" w:cstheme="majorHAnsi"/>
        </w:rPr>
      </w:pPr>
    </w:p>
    <w:p w14:paraId="2B83E20F" w14:textId="77777777" w:rsidR="00E06124" w:rsidRPr="00CF21D5" w:rsidRDefault="00E06124"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6"/>
        <w:gridCol w:w="4584"/>
      </w:tblGrid>
      <w:tr w:rsidR="00E06124" w:rsidRPr="00CF21D5" w14:paraId="53C1AEC7" w14:textId="77777777" w:rsidTr="00512434">
        <w:tc>
          <w:tcPr>
            <w:tcW w:w="9016" w:type="dxa"/>
            <w:gridSpan w:val="2"/>
          </w:tcPr>
          <w:p w14:paraId="7D8433BC" w14:textId="77777777" w:rsidR="00E06124" w:rsidRPr="00CF21D5" w:rsidRDefault="00E06124" w:rsidP="00CF21D5">
            <w:pPr>
              <w:spacing w:line="360" w:lineRule="auto"/>
              <w:jc w:val="center"/>
              <w:rPr>
                <w:rFonts w:asciiTheme="majorHAnsi" w:hAnsiTheme="majorHAnsi" w:cstheme="majorHAnsi"/>
              </w:rPr>
            </w:pPr>
            <w:r w:rsidRPr="00CF21D5">
              <w:rPr>
                <w:rFonts w:asciiTheme="majorHAnsi" w:hAnsiTheme="majorHAnsi" w:cstheme="majorHAnsi"/>
              </w:rPr>
              <w:t xml:space="preserve">Figure </w:t>
            </w:r>
            <w:r>
              <w:rPr>
                <w:rFonts w:asciiTheme="majorHAnsi" w:hAnsiTheme="majorHAnsi" w:cstheme="majorHAnsi"/>
              </w:rPr>
              <w:t>3</w:t>
            </w:r>
            <w:r w:rsidRPr="00CF21D5">
              <w:rPr>
                <w:rFonts w:asciiTheme="majorHAnsi" w:hAnsiTheme="majorHAnsi" w:cstheme="majorHAnsi"/>
              </w:rPr>
              <w:t>: Effect of minimum wage hike on Labour cost per worker</w:t>
            </w:r>
          </w:p>
        </w:tc>
      </w:tr>
      <w:tr w:rsidR="00E06124" w:rsidRPr="00CF21D5" w14:paraId="6FEA0053" w14:textId="77777777" w:rsidTr="00512434">
        <w:tc>
          <w:tcPr>
            <w:tcW w:w="3973" w:type="dxa"/>
          </w:tcPr>
          <w:p w14:paraId="485AEF52" w14:textId="77777777" w:rsidR="00E06124" w:rsidRPr="00CF21D5" w:rsidRDefault="00E06124" w:rsidP="00CF21D5">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68FC4AE1" wp14:editId="31D19333">
                  <wp:extent cx="2886235" cy="192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096" cy="1932623"/>
                          </a:xfrm>
                          <a:prstGeom prst="rect">
                            <a:avLst/>
                          </a:prstGeom>
                        </pic:spPr>
                      </pic:pic>
                    </a:graphicData>
                  </a:graphic>
                </wp:inline>
              </w:drawing>
            </w:r>
          </w:p>
        </w:tc>
        <w:tc>
          <w:tcPr>
            <w:tcW w:w="5043" w:type="dxa"/>
          </w:tcPr>
          <w:p w14:paraId="639BED43" w14:textId="77777777" w:rsidR="00E06124" w:rsidRPr="00CF21D5" w:rsidRDefault="00E06124" w:rsidP="00CF21D5">
            <w:pPr>
              <w:spacing w:line="360" w:lineRule="auto"/>
              <w:jc w:val="both"/>
              <w:rPr>
                <w:rFonts w:asciiTheme="majorHAnsi" w:hAnsiTheme="majorHAnsi" w:cstheme="majorHAnsi"/>
              </w:rPr>
            </w:pPr>
            <w:r w:rsidRPr="00CF21D5">
              <w:rPr>
                <w:rFonts w:asciiTheme="majorHAnsi" w:hAnsiTheme="majorHAnsi" w:cstheme="majorHAnsi"/>
                <w:noProof/>
              </w:rPr>
              <w:drawing>
                <wp:inline distT="0" distB="0" distL="0" distR="0" wp14:anchorId="5008CFDC" wp14:editId="7D1B1DEF">
                  <wp:extent cx="2401860" cy="1601151"/>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0630" cy="1626996"/>
                          </a:xfrm>
                          <a:prstGeom prst="rect">
                            <a:avLst/>
                          </a:prstGeom>
                        </pic:spPr>
                      </pic:pic>
                    </a:graphicData>
                  </a:graphic>
                </wp:inline>
              </w:drawing>
            </w:r>
          </w:p>
        </w:tc>
      </w:tr>
      <w:tr w:rsidR="00E06124" w:rsidRPr="00CF21D5" w14:paraId="5756AB66" w14:textId="77777777" w:rsidTr="00512434">
        <w:tc>
          <w:tcPr>
            <w:tcW w:w="9016" w:type="dxa"/>
            <w:gridSpan w:val="2"/>
          </w:tcPr>
          <w:p w14:paraId="57EC8A16" w14:textId="77777777" w:rsidR="00E06124" w:rsidRDefault="00E06124" w:rsidP="00CF21D5">
            <w:pPr>
              <w:spacing w:line="360" w:lineRule="auto"/>
              <w:jc w:val="both"/>
              <w:rPr>
                <w:rFonts w:asciiTheme="majorHAnsi" w:hAnsiTheme="majorHAnsi" w:cstheme="majorHAnsi"/>
                <w:sz w:val="20"/>
                <w:szCs w:val="20"/>
              </w:rPr>
            </w:pPr>
            <w:r w:rsidRPr="00512434">
              <w:rPr>
                <w:rFonts w:asciiTheme="majorHAnsi" w:hAnsiTheme="majorHAnsi" w:cstheme="majorHAnsi"/>
                <w:b/>
                <w:bCs/>
                <w:sz w:val="20"/>
                <w:szCs w:val="20"/>
              </w:rPr>
              <w:t>Notes</w:t>
            </w:r>
            <w:r w:rsidRPr="00512434">
              <w:rPr>
                <w:rFonts w:asciiTheme="majorHAnsi" w:hAnsiTheme="majorHAnsi" w:cstheme="majorHAnsi"/>
                <w:sz w:val="20"/>
                <w:szCs w:val="20"/>
              </w:rPr>
              <w:t xml:space="preserve">: </w:t>
            </w:r>
            <w:r w:rsidRPr="007345BE">
              <w:rPr>
                <w:rFonts w:asciiTheme="majorHAnsi" w:hAnsiTheme="majorHAnsi" w:cstheme="majorHAnsi"/>
                <w:sz w:val="20"/>
                <w:szCs w:val="20"/>
              </w:rPr>
              <w:t>Figure 3 shows the results of the evolution of total labour cost after the minimum wage increase. A firm's total labour cost consists of wage and non-wage components. The non-wage component may include group life insurance, Unemployment Insurance Fund (UIF) contribution, employee training expenditure etc.</w:t>
            </w:r>
            <w:r w:rsidRPr="00512434">
              <w:rPr>
                <w:rFonts w:asciiTheme="majorHAnsi" w:hAnsiTheme="majorHAnsi" w:cstheme="majorHAnsi"/>
                <w:sz w:val="20"/>
                <w:szCs w:val="20"/>
              </w:rPr>
              <w:br/>
            </w:r>
            <w:r w:rsidRPr="00512434">
              <w:rPr>
                <w:rFonts w:asciiTheme="majorHAnsi" w:hAnsiTheme="majorHAnsi" w:cstheme="majorHAnsi"/>
                <w:b/>
                <w:bCs/>
                <w:sz w:val="20"/>
                <w:szCs w:val="20"/>
              </w:rPr>
              <w:t>Source</w:t>
            </w:r>
            <w:r w:rsidRPr="00512434">
              <w:rPr>
                <w:rFonts w:asciiTheme="majorHAnsi" w:hAnsiTheme="majorHAnsi" w:cstheme="majorHAnsi"/>
                <w:sz w:val="20"/>
                <w:szCs w:val="20"/>
              </w:rPr>
              <w:t>: Authors computations from own datasets</w:t>
            </w:r>
            <w:r>
              <w:rPr>
                <w:rFonts w:asciiTheme="majorHAnsi" w:hAnsiTheme="majorHAnsi" w:cstheme="majorHAnsi"/>
                <w:sz w:val="20"/>
                <w:szCs w:val="20"/>
              </w:rPr>
              <w:t xml:space="preserve"> (CIT and IRP5) </w:t>
            </w:r>
            <w:r w:rsidRPr="00512434">
              <w:rPr>
                <w:rFonts w:asciiTheme="majorHAnsi" w:hAnsiTheme="majorHAnsi" w:cstheme="majorHAnsi"/>
                <w:sz w:val="20"/>
                <w:szCs w:val="20"/>
              </w:rPr>
              <w:t xml:space="preserve"> based on National Treasury and UNU-WIDER (2021)</w:t>
            </w:r>
            <w:r>
              <w:rPr>
                <w:rFonts w:asciiTheme="majorHAnsi" w:hAnsiTheme="majorHAnsi" w:cstheme="majorHAnsi"/>
                <w:sz w:val="20"/>
                <w:szCs w:val="20"/>
              </w:rPr>
              <w:t>.</w:t>
            </w:r>
          </w:p>
          <w:p w14:paraId="7983D820" w14:textId="77777777" w:rsidR="00A03D93" w:rsidRDefault="00A03D93" w:rsidP="00CF21D5">
            <w:pPr>
              <w:spacing w:line="360" w:lineRule="auto"/>
              <w:jc w:val="both"/>
              <w:rPr>
                <w:rFonts w:asciiTheme="majorHAnsi" w:hAnsiTheme="majorHAnsi" w:cstheme="majorHAnsi"/>
                <w:sz w:val="20"/>
                <w:szCs w:val="20"/>
              </w:rPr>
            </w:pPr>
          </w:p>
          <w:p w14:paraId="7869544C" w14:textId="77777777" w:rsidR="00A03D93" w:rsidRDefault="00A03D93" w:rsidP="00CF21D5">
            <w:pPr>
              <w:spacing w:line="360" w:lineRule="auto"/>
              <w:jc w:val="both"/>
              <w:rPr>
                <w:rFonts w:asciiTheme="majorHAnsi" w:hAnsiTheme="majorHAnsi" w:cstheme="majorHAnsi"/>
                <w:sz w:val="20"/>
                <w:szCs w:val="20"/>
              </w:rPr>
            </w:pPr>
          </w:p>
          <w:p w14:paraId="0C7C3C36" w14:textId="77777777" w:rsidR="00A03D93" w:rsidRDefault="00A03D93" w:rsidP="00CF21D5">
            <w:pPr>
              <w:spacing w:line="360" w:lineRule="auto"/>
              <w:jc w:val="both"/>
              <w:rPr>
                <w:rFonts w:asciiTheme="majorHAnsi" w:hAnsiTheme="majorHAnsi" w:cstheme="majorHAnsi"/>
                <w:sz w:val="20"/>
                <w:szCs w:val="20"/>
              </w:rPr>
            </w:pPr>
          </w:p>
          <w:p w14:paraId="51974564" w14:textId="77777777" w:rsidR="00A03D93" w:rsidRDefault="00A03D93" w:rsidP="00CF21D5">
            <w:pPr>
              <w:spacing w:line="360" w:lineRule="auto"/>
              <w:jc w:val="both"/>
              <w:rPr>
                <w:rFonts w:asciiTheme="majorHAnsi" w:hAnsiTheme="majorHAnsi" w:cstheme="majorHAnsi"/>
                <w:sz w:val="20"/>
                <w:szCs w:val="20"/>
              </w:rPr>
            </w:pPr>
          </w:p>
          <w:p w14:paraId="4E98EF11" w14:textId="77777777" w:rsidR="00A03D93" w:rsidRDefault="00A03D93" w:rsidP="00CF21D5">
            <w:pPr>
              <w:spacing w:line="360" w:lineRule="auto"/>
              <w:jc w:val="both"/>
              <w:rPr>
                <w:rFonts w:asciiTheme="majorHAnsi" w:hAnsiTheme="majorHAnsi" w:cstheme="majorHAnsi"/>
                <w:sz w:val="20"/>
                <w:szCs w:val="20"/>
              </w:rPr>
            </w:pPr>
          </w:p>
          <w:p w14:paraId="2BF3763A" w14:textId="77777777" w:rsidR="00A03D93" w:rsidRDefault="00A03D93" w:rsidP="00CF21D5">
            <w:pPr>
              <w:spacing w:line="360" w:lineRule="auto"/>
              <w:jc w:val="both"/>
              <w:rPr>
                <w:rFonts w:asciiTheme="majorHAnsi" w:hAnsiTheme="majorHAnsi" w:cstheme="majorHAnsi"/>
                <w:sz w:val="20"/>
                <w:szCs w:val="20"/>
              </w:rPr>
            </w:pPr>
          </w:p>
          <w:p w14:paraId="6A12FA5F" w14:textId="77777777" w:rsidR="00A03D93" w:rsidRDefault="00A03D93" w:rsidP="00CF21D5">
            <w:pPr>
              <w:spacing w:line="360" w:lineRule="auto"/>
              <w:jc w:val="both"/>
              <w:rPr>
                <w:rFonts w:asciiTheme="majorHAnsi" w:hAnsiTheme="majorHAnsi" w:cstheme="majorHAnsi"/>
                <w:sz w:val="20"/>
                <w:szCs w:val="20"/>
              </w:rPr>
            </w:pPr>
          </w:p>
          <w:p w14:paraId="7F1B59F3" w14:textId="77777777" w:rsidR="00A03D93" w:rsidRPr="00CF21D5" w:rsidRDefault="00A03D93" w:rsidP="00CF21D5">
            <w:pPr>
              <w:spacing w:line="360" w:lineRule="auto"/>
              <w:jc w:val="both"/>
              <w:rPr>
                <w:rFonts w:asciiTheme="majorHAnsi" w:hAnsiTheme="majorHAnsi" w:cstheme="majorHAnsi"/>
              </w:rPr>
            </w:pPr>
          </w:p>
        </w:tc>
      </w:tr>
    </w:tbl>
    <w:p w14:paraId="32FA4617" w14:textId="77777777" w:rsidR="00E06124" w:rsidRDefault="00E06124" w:rsidP="00CF21D5">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0"/>
        <w:gridCol w:w="4536"/>
      </w:tblGrid>
      <w:tr w:rsidR="00E06124" w:rsidRPr="00CF21D5" w14:paraId="613A848D" w14:textId="77777777" w:rsidTr="0026662C">
        <w:tc>
          <w:tcPr>
            <w:tcW w:w="9016" w:type="dxa"/>
            <w:gridSpan w:val="2"/>
          </w:tcPr>
          <w:p w14:paraId="465FB89F" w14:textId="77777777" w:rsidR="00E06124" w:rsidRPr="00CF21D5" w:rsidRDefault="00E06124" w:rsidP="0026662C">
            <w:pPr>
              <w:spacing w:line="360" w:lineRule="auto"/>
              <w:jc w:val="center"/>
              <w:rPr>
                <w:rFonts w:asciiTheme="majorHAnsi" w:hAnsiTheme="majorHAnsi" w:cstheme="majorHAnsi"/>
              </w:rPr>
            </w:pPr>
            <w:r w:rsidRPr="00CF21D5">
              <w:rPr>
                <w:rFonts w:asciiTheme="majorHAnsi" w:hAnsiTheme="majorHAnsi" w:cstheme="majorHAnsi"/>
              </w:rPr>
              <w:lastRenderedPageBreak/>
              <w:t xml:space="preserve">Figure </w:t>
            </w:r>
            <w:r>
              <w:rPr>
                <w:rFonts w:asciiTheme="majorHAnsi" w:hAnsiTheme="majorHAnsi" w:cstheme="majorHAnsi"/>
              </w:rPr>
              <w:t>4</w:t>
            </w:r>
            <w:r w:rsidRPr="00CF21D5">
              <w:rPr>
                <w:rFonts w:asciiTheme="majorHAnsi" w:hAnsiTheme="majorHAnsi" w:cstheme="majorHAnsi"/>
              </w:rPr>
              <w:t>: Effect of minimum wage hike on employment and capital</w:t>
            </w:r>
          </w:p>
        </w:tc>
      </w:tr>
      <w:tr w:rsidR="00E06124" w:rsidRPr="00CF21D5" w14:paraId="1C73C4C6" w14:textId="77777777" w:rsidTr="0026662C">
        <w:tc>
          <w:tcPr>
            <w:tcW w:w="4600" w:type="dxa"/>
          </w:tcPr>
          <w:p w14:paraId="1CFBF86E" w14:textId="77777777" w:rsidR="00E06124" w:rsidRPr="00CF21D5" w:rsidRDefault="00E06124" w:rsidP="0026662C">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14585310" wp14:editId="1B773C65">
                  <wp:extent cx="2729064" cy="1819275"/>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3445" cy="1835528"/>
                          </a:xfrm>
                          <a:prstGeom prst="rect">
                            <a:avLst/>
                          </a:prstGeom>
                        </pic:spPr>
                      </pic:pic>
                    </a:graphicData>
                  </a:graphic>
                </wp:inline>
              </w:drawing>
            </w:r>
          </w:p>
        </w:tc>
        <w:tc>
          <w:tcPr>
            <w:tcW w:w="4416" w:type="dxa"/>
          </w:tcPr>
          <w:p w14:paraId="09765A52" w14:textId="77777777" w:rsidR="00E06124" w:rsidRPr="00CF21D5" w:rsidRDefault="00E06124" w:rsidP="0026662C">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4854AF48" wp14:editId="4ED57019">
                  <wp:extent cx="2743352" cy="1828800"/>
                  <wp:effectExtent l="0" t="0" r="0" b="0"/>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2187" cy="1848022"/>
                          </a:xfrm>
                          <a:prstGeom prst="rect">
                            <a:avLst/>
                          </a:prstGeom>
                        </pic:spPr>
                      </pic:pic>
                    </a:graphicData>
                  </a:graphic>
                </wp:inline>
              </w:drawing>
            </w:r>
          </w:p>
        </w:tc>
      </w:tr>
      <w:tr w:rsidR="00E06124" w:rsidRPr="00512434" w14:paraId="1CF6B220" w14:textId="77777777" w:rsidTr="0026662C">
        <w:tc>
          <w:tcPr>
            <w:tcW w:w="9016" w:type="dxa"/>
            <w:gridSpan w:val="2"/>
          </w:tcPr>
          <w:p w14:paraId="20509043" w14:textId="77777777" w:rsidR="00E06124" w:rsidRDefault="00E06124" w:rsidP="0026662C">
            <w:pPr>
              <w:spacing w:line="360" w:lineRule="auto"/>
              <w:jc w:val="both"/>
              <w:rPr>
                <w:rFonts w:asciiTheme="majorHAnsi" w:hAnsiTheme="majorHAnsi" w:cstheme="majorHAnsi"/>
                <w:sz w:val="20"/>
                <w:szCs w:val="20"/>
              </w:rPr>
            </w:pPr>
            <w:r w:rsidRPr="00512434">
              <w:rPr>
                <w:rFonts w:asciiTheme="majorHAnsi" w:hAnsiTheme="majorHAnsi" w:cstheme="majorHAnsi"/>
                <w:b/>
                <w:bCs/>
                <w:sz w:val="20"/>
                <w:szCs w:val="20"/>
              </w:rPr>
              <w:t>Notes:</w:t>
            </w:r>
            <w:r>
              <w:rPr>
                <w:rFonts w:asciiTheme="majorHAnsi" w:hAnsiTheme="majorHAnsi" w:cstheme="majorHAnsi"/>
                <w:sz w:val="20"/>
                <w:szCs w:val="20"/>
              </w:rPr>
              <w:t xml:space="preserve"> </w:t>
            </w:r>
            <w:r w:rsidRPr="00DA2A22">
              <w:rPr>
                <w:rFonts w:asciiTheme="majorHAnsi" w:hAnsiTheme="majorHAnsi" w:cstheme="majorHAnsi"/>
                <w:sz w:val="20"/>
                <w:szCs w:val="20"/>
              </w:rPr>
              <w:t xml:space="preserve">Figure </w:t>
            </w:r>
            <w:r>
              <w:rPr>
                <w:rFonts w:asciiTheme="majorHAnsi" w:hAnsiTheme="majorHAnsi" w:cstheme="majorHAnsi"/>
                <w:sz w:val="20"/>
                <w:szCs w:val="20"/>
              </w:rPr>
              <w:t>4</w:t>
            </w:r>
            <w:r w:rsidRPr="00DA2A22">
              <w:rPr>
                <w:rFonts w:asciiTheme="majorHAnsi" w:hAnsiTheme="majorHAnsi" w:cstheme="majorHAnsi"/>
                <w:sz w:val="20"/>
                <w:szCs w:val="20"/>
              </w:rPr>
              <w:t xml:space="preserve"> shows the evolution</w:t>
            </w:r>
            <w:r>
              <w:rPr>
                <w:rFonts w:asciiTheme="majorHAnsi" w:hAnsiTheme="majorHAnsi" w:cstheme="majorHAnsi"/>
                <w:sz w:val="20"/>
                <w:szCs w:val="20"/>
              </w:rPr>
              <w:t xml:space="preserve"> of employment and capital </w:t>
            </w:r>
            <w:r w:rsidRPr="00DA2A22">
              <w:rPr>
                <w:rFonts w:asciiTheme="majorHAnsi" w:hAnsiTheme="majorHAnsi" w:cstheme="majorHAnsi"/>
                <w:sz w:val="20"/>
                <w:szCs w:val="20"/>
              </w:rPr>
              <w:t>after the minimum wage hike. The results are weighted by farm size. See the regression table in Appendix A to compare the results from the weighted and unweighted models.</w:t>
            </w:r>
          </w:p>
          <w:p w14:paraId="4DBB13E2" w14:textId="77777777" w:rsidR="00E06124" w:rsidRPr="00512434" w:rsidRDefault="00E06124" w:rsidP="0026662C">
            <w:pPr>
              <w:spacing w:line="360" w:lineRule="auto"/>
              <w:jc w:val="both"/>
              <w:rPr>
                <w:rFonts w:asciiTheme="majorHAnsi" w:hAnsiTheme="majorHAnsi" w:cstheme="majorHAnsi"/>
                <w:sz w:val="20"/>
                <w:szCs w:val="20"/>
              </w:rPr>
            </w:pPr>
            <w:r w:rsidRPr="00512434">
              <w:rPr>
                <w:rFonts w:asciiTheme="majorHAnsi" w:hAnsiTheme="majorHAnsi" w:cstheme="majorHAnsi"/>
                <w:b/>
                <w:bCs/>
                <w:sz w:val="20"/>
                <w:szCs w:val="20"/>
              </w:rPr>
              <w:t>Source</w:t>
            </w:r>
            <w:r w:rsidRPr="00512434">
              <w:rPr>
                <w:rFonts w:asciiTheme="majorHAnsi" w:hAnsiTheme="majorHAnsi" w:cstheme="majorHAnsi"/>
                <w:sz w:val="20"/>
                <w:szCs w:val="20"/>
              </w:rPr>
              <w:t>: Authors computations from own datasets based on National Treasury and UNU-WIDER (2021)</w:t>
            </w:r>
          </w:p>
        </w:tc>
      </w:tr>
    </w:tbl>
    <w:p w14:paraId="3F1C341E" w14:textId="77777777" w:rsidR="00E06124" w:rsidRPr="00CF21D5" w:rsidRDefault="00E06124" w:rsidP="00CF21D5">
      <w:pPr>
        <w:spacing w:line="360" w:lineRule="auto"/>
        <w:jc w:val="both"/>
        <w:rPr>
          <w:rFonts w:asciiTheme="majorHAnsi" w:hAnsiTheme="majorHAnsi" w:cstheme="majorHAnsi"/>
        </w:rPr>
      </w:pPr>
    </w:p>
    <w:p w14:paraId="3C388C3C" w14:textId="0C1A7ABD" w:rsidR="004F2C1B" w:rsidRPr="004F2C1B" w:rsidRDefault="004F2C1B" w:rsidP="004F2C1B">
      <w:pPr>
        <w:spacing w:line="360" w:lineRule="auto"/>
        <w:jc w:val="both"/>
        <w:rPr>
          <w:rFonts w:asciiTheme="majorHAnsi" w:hAnsiTheme="majorHAnsi" w:cstheme="majorHAnsi"/>
        </w:rPr>
      </w:pPr>
      <w:r w:rsidRPr="004F2C1B">
        <w:rPr>
          <w:rFonts w:asciiTheme="majorHAnsi" w:hAnsiTheme="majorHAnsi" w:cstheme="majorHAnsi"/>
        </w:rPr>
        <w:t>The left panel of Figure 4 elucidates the employment trends among affected farms following the minimum wage increase. The visual representation suggests a gradual reduction in employment on these farms in response to the wage hike, with these reductions intensifying over time. This decline in employment contributes to the observed increase in per-employee labour costs. Consequently, the data does not unequivocally demonstrate that the wage increase led to higher aggregate labour expenses on impacted farms. Instead, it suggests that farms with a substantial proportion of minimum-wage workers downsized their workforce after the wage policy adjustment, effectively redistributing their compensation among a smaller labour force.</w:t>
      </w:r>
    </w:p>
    <w:p w14:paraId="6068A459" w14:textId="77777777" w:rsidR="004F2C1B" w:rsidRPr="004F2C1B" w:rsidRDefault="004F2C1B" w:rsidP="004F2C1B">
      <w:pPr>
        <w:spacing w:line="360" w:lineRule="auto"/>
        <w:jc w:val="both"/>
        <w:rPr>
          <w:rFonts w:asciiTheme="majorHAnsi" w:hAnsiTheme="majorHAnsi" w:cstheme="majorHAnsi"/>
        </w:rPr>
      </w:pPr>
    </w:p>
    <w:p w14:paraId="2A298D29" w14:textId="21D603AA" w:rsidR="004F2C1B" w:rsidRDefault="004F2C1B" w:rsidP="004F2C1B">
      <w:pPr>
        <w:spacing w:line="360" w:lineRule="auto"/>
        <w:jc w:val="both"/>
        <w:rPr>
          <w:rFonts w:asciiTheme="majorHAnsi" w:hAnsiTheme="majorHAnsi" w:cstheme="majorHAnsi"/>
        </w:rPr>
      </w:pPr>
      <w:r w:rsidRPr="004F2C1B">
        <w:rPr>
          <w:rFonts w:asciiTheme="majorHAnsi" w:hAnsiTheme="majorHAnsi" w:cstheme="majorHAnsi"/>
        </w:rPr>
        <w:t>The corresponding panel on the right side of Figure 4 reveals a stable capital trend following the wage increase. This finding dismisses significant capital-labour trade-offs in response to the policy change.</w:t>
      </w:r>
    </w:p>
    <w:p w14:paraId="2E19272E" w14:textId="77777777" w:rsidR="004F2C1B" w:rsidRPr="004F2C1B" w:rsidRDefault="004F2C1B" w:rsidP="004F2C1B">
      <w:pPr>
        <w:spacing w:line="360" w:lineRule="auto"/>
        <w:jc w:val="both"/>
        <w:rPr>
          <w:rFonts w:asciiTheme="majorHAnsi" w:hAnsiTheme="majorHAnsi" w:cstheme="majorHAnsi"/>
        </w:rPr>
      </w:pPr>
    </w:p>
    <w:p w14:paraId="51168EF1" w14:textId="498023E5" w:rsidR="00FB4448" w:rsidRDefault="004F2C1B" w:rsidP="004F2C1B">
      <w:pPr>
        <w:spacing w:line="360" w:lineRule="auto"/>
        <w:jc w:val="both"/>
        <w:rPr>
          <w:rFonts w:asciiTheme="majorHAnsi" w:hAnsiTheme="majorHAnsi" w:cstheme="majorHAnsi"/>
        </w:rPr>
      </w:pPr>
      <w:r w:rsidRPr="004F2C1B">
        <w:rPr>
          <w:rFonts w:asciiTheme="majorHAnsi" w:hAnsiTheme="majorHAnsi" w:cstheme="majorHAnsi"/>
        </w:rPr>
        <w:t xml:space="preserve">Given the dynamics depicted in Figure 4, one might anticipate a decline in production levels on these low-wage farms, which could subsequently impact revenues and profitability. However, contrary to such expectations, Figure 5 highlights the relative lack of impact of the wage hike on revenue streams. Despite having a reduced workforce and an unchanged capital investment, these farms remarkably maintained their revenue levels from the pre-policy period. The increased revenue per labour unit suggests an improvement in labour efficiency among these farms. One plausible mechanism behind this enhanced operational </w:t>
      </w:r>
      <w:r w:rsidRPr="004F2C1B">
        <w:rPr>
          <w:rFonts w:asciiTheme="majorHAnsi" w:hAnsiTheme="majorHAnsi" w:cstheme="majorHAnsi"/>
        </w:rPr>
        <w:lastRenderedPageBreak/>
        <w:t>efficiency could be a strategic adjustment of the workforce—retaining highly productive workers while letting go of less efficient ones.</w:t>
      </w:r>
    </w:p>
    <w:p w14:paraId="4C82A5FE" w14:textId="77777777" w:rsidR="004F2C1B" w:rsidRPr="00CF21D5" w:rsidRDefault="004F2C1B" w:rsidP="004F2C1B">
      <w:pPr>
        <w:spacing w:line="360" w:lineRule="auto"/>
        <w:jc w:val="both"/>
        <w:rPr>
          <w:rFonts w:asciiTheme="majorHAnsi" w:hAnsiTheme="majorHAnsi" w:cstheme="majorHAnsi"/>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70"/>
      </w:tblGrid>
      <w:tr w:rsidR="00E06124" w:rsidRPr="00CF21D5" w14:paraId="15018553" w14:textId="77777777" w:rsidTr="00512434">
        <w:tc>
          <w:tcPr>
            <w:tcW w:w="9016" w:type="dxa"/>
            <w:gridSpan w:val="2"/>
          </w:tcPr>
          <w:p w14:paraId="6976FE2A" w14:textId="77777777" w:rsidR="00E06124" w:rsidRPr="00CF21D5" w:rsidRDefault="00E06124" w:rsidP="00CF21D5">
            <w:pPr>
              <w:spacing w:line="360" w:lineRule="auto"/>
              <w:jc w:val="center"/>
              <w:rPr>
                <w:rFonts w:asciiTheme="majorHAnsi" w:hAnsiTheme="majorHAnsi" w:cstheme="majorHAnsi"/>
              </w:rPr>
            </w:pPr>
            <w:r w:rsidRPr="00CF21D5">
              <w:rPr>
                <w:rFonts w:asciiTheme="majorHAnsi" w:hAnsiTheme="majorHAnsi" w:cstheme="majorHAnsi"/>
              </w:rPr>
              <w:t>Figure</w:t>
            </w:r>
            <w:r>
              <w:rPr>
                <w:rFonts w:asciiTheme="majorHAnsi" w:hAnsiTheme="majorHAnsi" w:cstheme="majorHAnsi"/>
              </w:rPr>
              <w:t xml:space="preserve"> 5</w:t>
            </w:r>
            <w:r w:rsidRPr="00CF21D5">
              <w:rPr>
                <w:rFonts w:asciiTheme="majorHAnsi" w:hAnsiTheme="majorHAnsi" w:cstheme="majorHAnsi"/>
              </w:rPr>
              <w:t xml:space="preserve">: Effect of minimum wage hike on </w:t>
            </w:r>
            <w:r>
              <w:rPr>
                <w:rFonts w:asciiTheme="majorHAnsi" w:hAnsiTheme="majorHAnsi" w:cstheme="majorHAnsi"/>
              </w:rPr>
              <w:t>r</w:t>
            </w:r>
            <w:r w:rsidRPr="00CF21D5">
              <w:rPr>
                <w:rFonts w:asciiTheme="majorHAnsi" w:hAnsiTheme="majorHAnsi" w:cstheme="majorHAnsi"/>
              </w:rPr>
              <w:t>evenue and</w:t>
            </w:r>
            <w:r>
              <w:rPr>
                <w:rFonts w:asciiTheme="majorHAnsi" w:hAnsiTheme="majorHAnsi" w:cstheme="majorHAnsi"/>
              </w:rPr>
              <w:t xml:space="preserve"> revenue per worker</w:t>
            </w:r>
          </w:p>
        </w:tc>
      </w:tr>
      <w:tr w:rsidR="00E06124" w:rsidRPr="00CF21D5" w14:paraId="4ED08222" w14:textId="77777777" w:rsidTr="00512434">
        <w:trPr>
          <w:trHeight w:val="2917"/>
        </w:trPr>
        <w:tc>
          <w:tcPr>
            <w:tcW w:w="4422" w:type="dxa"/>
          </w:tcPr>
          <w:p w14:paraId="7664827D" w14:textId="77777777" w:rsidR="00E06124" w:rsidRPr="00CF21D5" w:rsidRDefault="00E06124" w:rsidP="00CF21D5">
            <w:pPr>
              <w:spacing w:line="360" w:lineRule="auto"/>
              <w:jc w:val="both"/>
              <w:rPr>
                <w:rFonts w:asciiTheme="majorHAnsi" w:hAnsiTheme="majorHAnsi" w:cstheme="majorHAnsi"/>
              </w:rPr>
            </w:pPr>
            <w:r>
              <w:rPr>
                <w:rFonts w:asciiTheme="majorHAnsi" w:hAnsiTheme="majorHAnsi" w:cstheme="majorHAnsi"/>
                <w:noProof/>
              </w:rPr>
              <w:drawing>
                <wp:inline distT="0" distB="0" distL="0" distR="0" wp14:anchorId="53390280" wp14:editId="4D21D1EC">
                  <wp:extent cx="2786217" cy="1857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1944" cy="1867859"/>
                          </a:xfrm>
                          <a:prstGeom prst="rect">
                            <a:avLst/>
                          </a:prstGeom>
                        </pic:spPr>
                      </pic:pic>
                    </a:graphicData>
                  </a:graphic>
                </wp:inline>
              </w:drawing>
            </w:r>
          </w:p>
        </w:tc>
        <w:tc>
          <w:tcPr>
            <w:tcW w:w="4594" w:type="dxa"/>
          </w:tcPr>
          <w:p w14:paraId="08EEDE3D" w14:textId="77777777" w:rsidR="00E06124" w:rsidRPr="00CF21D5" w:rsidRDefault="00E06124" w:rsidP="00CF21D5">
            <w:pPr>
              <w:spacing w:line="360" w:lineRule="auto"/>
              <w:jc w:val="both"/>
              <w:rPr>
                <w:rFonts w:asciiTheme="majorHAnsi" w:hAnsiTheme="majorHAnsi" w:cstheme="majorHAnsi"/>
                <w:noProof/>
              </w:rPr>
            </w:pPr>
            <w:r>
              <w:rPr>
                <w:rFonts w:asciiTheme="majorHAnsi" w:hAnsiTheme="majorHAnsi" w:cstheme="majorHAnsi"/>
                <w:noProof/>
              </w:rPr>
              <w:drawing>
                <wp:inline distT="0" distB="0" distL="0" distR="0" wp14:anchorId="257F3A61" wp14:editId="1CEF6771">
                  <wp:extent cx="2900523" cy="1933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8291" cy="1945420"/>
                          </a:xfrm>
                          <a:prstGeom prst="rect">
                            <a:avLst/>
                          </a:prstGeom>
                        </pic:spPr>
                      </pic:pic>
                    </a:graphicData>
                  </a:graphic>
                </wp:inline>
              </w:drawing>
            </w:r>
          </w:p>
        </w:tc>
      </w:tr>
      <w:tr w:rsidR="00E06124" w:rsidRPr="00CF21D5" w14:paraId="39A2D3F3" w14:textId="77777777" w:rsidTr="00512434">
        <w:tc>
          <w:tcPr>
            <w:tcW w:w="9016" w:type="dxa"/>
            <w:gridSpan w:val="2"/>
          </w:tcPr>
          <w:p w14:paraId="301D2021" w14:textId="77777777" w:rsidR="00E06124" w:rsidRDefault="00E06124"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Notes:</w:t>
            </w:r>
            <w:r>
              <w:rPr>
                <w:rFonts w:asciiTheme="majorHAnsi" w:hAnsiTheme="majorHAnsi" w:cstheme="majorHAnsi"/>
                <w:sz w:val="18"/>
                <w:szCs w:val="18"/>
              </w:rPr>
              <w:t xml:space="preserve"> </w:t>
            </w:r>
            <w:r w:rsidRPr="00DA2A22">
              <w:rPr>
                <w:rFonts w:asciiTheme="majorHAnsi" w:hAnsiTheme="majorHAnsi" w:cstheme="majorHAnsi"/>
                <w:sz w:val="18"/>
                <w:szCs w:val="18"/>
              </w:rPr>
              <w:t>Figure 5 shows the evolution of sales revenue and revenue per-workers after the minimum wage hike. The results are weighted by farm size. See the regression table in Appendix A to compare the results from the weighted and unweighted models.</w:t>
            </w:r>
          </w:p>
          <w:p w14:paraId="68665A4B" w14:textId="77777777" w:rsidR="00E06124" w:rsidRPr="00512434" w:rsidRDefault="00E06124"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Source:</w:t>
            </w:r>
            <w:r w:rsidRPr="00512434">
              <w:rPr>
                <w:rFonts w:asciiTheme="majorHAnsi" w:hAnsiTheme="majorHAnsi" w:cstheme="majorHAnsi"/>
                <w:sz w:val="18"/>
                <w:szCs w:val="18"/>
              </w:rPr>
              <w:t xml:space="preserve"> Authors computations from own datasets based on National Treasury and UNU-WIDER (2021)</w:t>
            </w:r>
          </w:p>
        </w:tc>
      </w:tr>
    </w:tbl>
    <w:p w14:paraId="563951B4" w14:textId="77777777" w:rsidR="004F2C1B" w:rsidRPr="004F2C1B" w:rsidRDefault="004F2C1B" w:rsidP="004F2C1B">
      <w:pPr>
        <w:spacing w:line="360" w:lineRule="auto"/>
        <w:jc w:val="both"/>
        <w:rPr>
          <w:rFonts w:asciiTheme="majorHAnsi" w:hAnsiTheme="majorHAnsi" w:cstheme="majorHAnsi"/>
          <w:b/>
          <w:bCs/>
        </w:rPr>
      </w:pPr>
    </w:p>
    <w:p w14:paraId="3065A74B" w14:textId="462D62EF" w:rsidR="00E06124" w:rsidRPr="001975D0" w:rsidRDefault="00E06124" w:rsidP="00C86818">
      <w:pPr>
        <w:pStyle w:val="ListParagraph"/>
        <w:numPr>
          <w:ilvl w:val="0"/>
          <w:numId w:val="17"/>
        </w:numPr>
        <w:spacing w:line="360" w:lineRule="auto"/>
        <w:jc w:val="both"/>
        <w:rPr>
          <w:rFonts w:asciiTheme="majorHAnsi" w:hAnsiTheme="majorHAnsi" w:cstheme="majorHAnsi"/>
          <w:b/>
          <w:bCs/>
        </w:rPr>
      </w:pPr>
      <w:r w:rsidRPr="001975D0">
        <w:rPr>
          <w:rFonts w:asciiTheme="majorHAnsi" w:hAnsiTheme="majorHAnsi" w:cstheme="majorHAnsi"/>
          <w:b/>
          <w:bCs/>
        </w:rPr>
        <w:t>Robustness</w:t>
      </w:r>
      <w:r w:rsidRPr="001975D0">
        <w:rPr>
          <w:rFonts w:asciiTheme="majorHAnsi" w:hAnsiTheme="majorHAnsi" w:cstheme="majorHAnsi"/>
        </w:rPr>
        <w:t xml:space="preserve"> </w:t>
      </w:r>
      <w:r w:rsidRPr="001975D0">
        <w:rPr>
          <w:rFonts w:asciiTheme="majorHAnsi" w:hAnsiTheme="majorHAnsi" w:cstheme="majorHAnsi"/>
          <w:b/>
          <w:bCs/>
        </w:rPr>
        <w:t>Analysis</w:t>
      </w:r>
    </w:p>
    <w:p w14:paraId="0637E1DB" w14:textId="77777777" w:rsidR="004F2C1B" w:rsidRPr="004F2C1B" w:rsidRDefault="004F2C1B" w:rsidP="004F2C1B">
      <w:pPr>
        <w:spacing w:line="360" w:lineRule="auto"/>
        <w:jc w:val="both"/>
        <w:rPr>
          <w:rFonts w:asciiTheme="majorHAnsi" w:hAnsiTheme="majorHAnsi" w:cstheme="majorHAnsi"/>
        </w:rPr>
      </w:pPr>
      <w:r w:rsidRPr="004F2C1B">
        <w:rPr>
          <w:rFonts w:asciiTheme="majorHAnsi" w:hAnsiTheme="majorHAnsi" w:cstheme="majorHAnsi"/>
        </w:rPr>
        <w:t>Our data highlights a notable pattern of workforce reductions within low-wage farms following the implementation of a substantial and sustained minimum wage increase. While Figure 4 provides support for the plausibility of the common trend assumption, it is a fundamental principle in empirical analysis to further validate the robustness of key findings. A commonly employed method in the literature to achieve this is the placebo test, where the treatment is hypothetically assumed to commence before the actual policy event, allowing us to assess any resulting policy effects on outcome metrics. The detection of any policy effect in this context could potentially challenge the validity of our primary findings, suggesting the presence of extraneous variables at play.</w:t>
      </w:r>
    </w:p>
    <w:p w14:paraId="28E040C3" w14:textId="77777777" w:rsidR="004F2C1B" w:rsidRPr="004F2C1B" w:rsidRDefault="004F2C1B" w:rsidP="004F2C1B">
      <w:pPr>
        <w:spacing w:line="360" w:lineRule="auto"/>
        <w:jc w:val="both"/>
        <w:rPr>
          <w:rFonts w:asciiTheme="majorHAnsi" w:hAnsiTheme="majorHAnsi" w:cstheme="majorHAnsi"/>
        </w:rPr>
      </w:pPr>
    </w:p>
    <w:p w14:paraId="2BFC502A" w14:textId="66ED89C5" w:rsidR="00E06124" w:rsidRDefault="004F2C1B" w:rsidP="004F2C1B">
      <w:pPr>
        <w:spacing w:line="360" w:lineRule="auto"/>
        <w:jc w:val="both"/>
        <w:rPr>
          <w:rFonts w:asciiTheme="majorHAnsi" w:hAnsiTheme="majorHAnsi" w:cstheme="majorHAnsi"/>
        </w:rPr>
      </w:pPr>
      <w:r w:rsidRPr="004F2C1B">
        <w:rPr>
          <w:rFonts w:asciiTheme="majorHAnsi" w:hAnsiTheme="majorHAnsi" w:cstheme="majorHAnsi"/>
        </w:rPr>
        <w:t xml:space="preserve">Due to the temporal constraints of our dataset, which includes only two years prior to the policy shift, a conventional horizontal placebo test is not feasible. However, a vertical placebo test remains a viable alternative. To conduct this test, we reconstructed our sample to focus on high-wage farms—those least affected by the wage amendment. Specifically, we tailored our sample to include farms situated above the 75th percentile of labour costs during the pre-policy period. This placebo group comprises 1,884 farms and, </w:t>
      </w:r>
      <w:r w:rsidRPr="004F2C1B">
        <w:rPr>
          <w:rFonts w:asciiTheme="majorHAnsi" w:hAnsiTheme="majorHAnsi" w:cstheme="majorHAnsi"/>
        </w:rPr>
        <w:lastRenderedPageBreak/>
        <w:t>interestingly, still exhibits some variation in the treatment metric, which is represented by the fraction of affected workers.</w:t>
      </w:r>
    </w:p>
    <w:p w14:paraId="01F24428" w14:textId="77777777" w:rsidR="004F2C1B" w:rsidRPr="00CF21D5" w:rsidRDefault="004F2C1B" w:rsidP="004F2C1B">
      <w:pPr>
        <w:spacing w:line="360" w:lineRule="auto"/>
        <w:jc w:val="both"/>
        <w:rPr>
          <w:rFonts w:asciiTheme="majorHAnsi" w:hAnsiTheme="majorHAnsi" w:cstheme="majorHAnsi"/>
        </w:rPr>
      </w:pPr>
    </w:p>
    <w:tbl>
      <w:tblPr>
        <w:tblStyle w:val="TableGrid1"/>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1"/>
      </w:tblGrid>
      <w:tr w:rsidR="00E06124" w:rsidRPr="00CF21D5" w14:paraId="474961CA" w14:textId="77777777" w:rsidTr="00512434">
        <w:trPr>
          <w:trHeight w:val="374"/>
        </w:trPr>
        <w:tc>
          <w:tcPr>
            <w:tcW w:w="9211" w:type="dxa"/>
          </w:tcPr>
          <w:p w14:paraId="099C2BCF" w14:textId="77777777" w:rsidR="00E06124" w:rsidRPr="00CF21D5" w:rsidRDefault="00E06124" w:rsidP="00CF21D5">
            <w:pPr>
              <w:spacing w:line="360" w:lineRule="auto"/>
              <w:jc w:val="center"/>
              <w:rPr>
                <w:rFonts w:asciiTheme="majorHAnsi" w:hAnsiTheme="majorHAnsi" w:cstheme="majorHAnsi"/>
              </w:rPr>
            </w:pPr>
            <w:r w:rsidRPr="00CF21D5">
              <w:rPr>
                <w:rFonts w:asciiTheme="majorHAnsi" w:hAnsiTheme="majorHAnsi" w:cstheme="majorHAnsi"/>
              </w:rPr>
              <w:t xml:space="preserve">Figure </w:t>
            </w:r>
            <w:r>
              <w:rPr>
                <w:rFonts w:asciiTheme="majorHAnsi" w:hAnsiTheme="majorHAnsi" w:cstheme="majorHAnsi"/>
              </w:rPr>
              <w:t>6</w:t>
            </w:r>
            <w:r w:rsidRPr="00CF21D5">
              <w:rPr>
                <w:rFonts w:asciiTheme="majorHAnsi" w:hAnsiTheme="majorHAnsi" w:cstheme="majorHAnsi"/>
              </w:rPr>
              <w:t>: Placebo test: Effect of minimum wage hike on high</w:t>
            </w:r>
            <w:r>
              <w:rPr>
                <w:rFonts w:asciiTheme="majorHAnsi" w:hAnsiTheme="majorHAnsi" w:cstheme="majorHAnsi"/>
              </w:rPr>
              <w:t xml:space="preserve"> </w:t>
            </w:r>
            <w:r w:rsidRPr="00CF21D5">
              <w:rPr>
                <w:rFonts w:asciiTheme="majorHAnsi" w:hAnsiTheme="majorHAnsi" w:cstheme="majorHAnsi"/>
              </w:rPr>
              <w:t>-wage farms</w:t>
            </w:r>
          </w:p>
        </w:tc>
      </w:tr>
      <w:tr w:rsidR="00E06124" w:rsidRPr="00CF21D5" w14:paraId="6659F3F2" w14:textId="77777777" w:rsidTr="00512434">
        <w:trPr>
          <w:trHeight w:val="4191"/>
        </w:trPr>
        <w:tc>
          <w:tcPr>
            <w:tcW w:w="9211" w:type="dxa"/>
          </w:tcPr>
          <w:p w14:paraId="6539680F" w14:textId="77777777" w:rsidR="00E06124" w:rsidRPr="00CF21D5" w:rsidRDefault="00E06124" w:rsidP="00512434">
            <w:pPr>
              <w:spacing w:line="360" w:lineRule="auto"/>
              <w:jc w:val="center"/>
              <w:rPr>
                <w:rFonts w:asciiTheme="majorHAnsi" w:hAnsiTheme="majorHAnsi" w:cstheme="majorHAnsi"/>
                <w:b/>
                <w:bCs/>
                <w:noProof/>
              </w:rPr>
            </w:pPr>
            <w:r>
              <w:rPr>
                <w:rFonts w:asciiTheme="majorHAnsi" w:hAnsiTheme="majorHAnsi" w:cstheme="majorHAnsi"/>
                <w:b/>
                <w:bCs/>
                <w:noProof/>
              </w:rPr>
              <w:drawing>
                <wp:inline distT="0" distB="0" distL="0" distR="0" wp14:anchorId="2760297A" wp14:editId="2F23F57A">
                  <wp:extent cx="4186470" cy="27908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198575" cy="2798894"/>
                          </a:xfrm>
                          <a:prstGeom prst="rect">
                            <a:avLst/>
                          </a:prstGeom>
                        </pic:spPr>
                      </pic:pic>
                    </a:graphicData>
                  </a:graphic>
                </wp:inline>
              </w:drawing>
            </w:r>
          </w:p>
        </w:tc>
      </w:tr>
      <w:tr w:rsidR="00E06124" w:rsidRPr="00CF21D5" w14:paraId="6B287488" w14:textId="77777777" w:rsidTr="00512434">
        <w:trPr>
          <w:trHeight w:val="2124"/>
        </w:trPr>
        <w:tc>
          <w:tcPr>
            <w:tcW w:w="9211" w:type="dxa"/>
          </w:tcPr>
          <w:p w14:paraId="23F0655B" w14:textId="77777777" w:rsidR="00E06124" w:rsidRPr="00512434" w:rsidRDefault="00E06124" w:rsidP="00CF21D5">
            <w:pPr>
              <w:spacing w:line="360" w:lineRule="auto"/>
              <w:jc w:val="both"/>
              <w:rPr>
                <w:rFonts w:asciiTheme="majorHAnsi" w:hAnsiTheme="majorHAnsi" w:cstheme="majorHAnsi"/>
                <w:sz w:val="18"/>
                <w:szCs w:val="18"/>
              </w:rPr>
            </w:pPr>
            <w:r w:rsidRPr="00512434">
              <w:rPr>
                <w:rFonts w:asciiTheme="majorHAnsi" w:hAnsiTheme="majorHAnsi" w:cstheme="majorHAnsi"/>
                <w:b/>
                <w:bCs/>
                <w:sz w:val="18"/>
                <w:szCs w:val="18"/>
              </w:rPr>
              <w:t>Notes:</w:t>
            </w:r>
            <w:r>
              <w:rPr>
                <w:rFonts w:asciiTheme="majorHAnsi" w:hAnsiTheme="majorHAnsi" w:cstheme="majorHAnsi"/>
                <w:sz w:val="18"/>
                <w:szCs w:val="18"/>
              </w:rPr>
              <w:t xml:space="preserve"> </w:t>
            </w:r>
            <w:r w:rsidRPr="00512434">
              <w:rPr>
                <w:rFonts w:asciiTheme="majorHAnsi" w:hAnsiTheme="majorHAnsi" w:cstheme="majorHAnsi"/>
                <w:sz w:val="18"/>
                <w:szCs w:val="18"/>
              </w:rPr>
              <w:t xml:space="preserve">Figure 6 shows the evolution of employment for farms above the 75th percentile of the pre-policy labour cost distribution. Appendix B presents a regression table showing estimate results foe employment and other outcome variables.  </w:t>
            </w:r>
          </w:p>
          <w:p w14:paraId="586D10C0" w14:textId="77777777" w:rsidR="00E06124" w:rsidRPr="00CF21D5" w:rsidRDefault="00E06124" w:rsidP="00CF21D5">
            <w:pPr>
              <w:spacing w:line="360" w:lineRule="auto"/>
              <w:jc w:val="both"/>
              <w:rPr>
                <w:rFonts w:asciiTheme="majorHAnsi" w:hAnsiTheme="majorHAnsi" w:cstheme="majorHAnsi"/>
              </w:rPr>
            </w:pPr>
            <w:r w:rsidRPr="00512434">
              <w:rPr>
                <w:rFonts w:asciiTheme="majorHAnsi" w:hAnsiTheme="majorHAnsi" w:cstheme="majorHAnsi"/>
                <w:b/>
                <w:bCs/>
              </w:rPr>
              <w:t>S</w:t>
            </w:r>
            <w:r w:rsidRPr="00512434">
              <w:rPr>
                <w:rFonts w:asciiTheme="majorHAnsi" w:hAnsiTheme="majorHAnsi" w:cstheme="majorHAnsi"/>
                <w:b/>
                <w:bCs/>
                <w:sz w:val="18"/>
                <w:szCs w:val="18"/>
              </w:rPr>
              <w:t>ource:</w:t>
            </w:r>
            <w:r w:rsidRPr="00512434">
              <w:rPr>
                <w:rFonts w:asciiTheme="majorHAnsi" w:hAnsiTheme="majorHAnsi" w:cstheme="majorHAnsi"/>
                <w:sz w:val="18"/>
                <w:szCs w:val="18"/>
              </w:rPr>
              <w:t xml:space="preserve"> Authors computations from own datasets based on National Treasury and UNU-WIDER (2021)</w:t>
            </w:r>
          </w:p>
        </w:tc>
      </w:tr>
    </w:tbl>
    <w:p w14:paraId="742A2CAC" w14:textId="77777777" w:rsidR="004F2C1B" w:rsidRPr="004F2C1B" w:rsidRDefault="004F2C1B" w:rsidP="004F2C1B">
      <w:pPr>
        <w:spacing w:line="360" w:lineRule="auto"/>
        <w:jc w:val="both"/>
        <w:rPr>
          <w:rFonts w:asciiTheme="majorHAnsi" w:hAnsiTheme="majorHAnsi" w:cstheme="majorHAnsi"/>
        </w:rPr>
      </w:pPr>
      <w:r w:rsidRPr="004F2C1B">
        <w:rPr>
          <w:rFonts w:asciiTheme="majorHAnsi" w:hAnsiTheme="majorHAnsi" w:cstheme="majorHAnsi"/>
        </w:rPr>
        <w:t>Figure 6 presents the employment outcomes derived from our model tailored for a subset of high-wage firms. Remarkably, our observations do not indicate any noticeable policy-induced changes in employment patterns (for detailed regression results, please refer to Appendix B). The placebo results enhance our confidence in the notion that the shifts observed in our primary dataset are fundamentally linked to the modification of the minimum wage policy.</w:t>
      </w:r>
    </w:p>
    <w:p w14:paraId="1100C8AF" w14:textId="77777777" w:rsidR="004F2C1B" w:rsidRPr="004F2C1B" w:rsidRDefault="004F2C1B" w:rsidP="004F2C1B">
      <w:pPr>
        <w:spacing w:line="360" w:lineRule="auto"/>
        <w:jc w:val="both"/>
        <w:rPr>
          <w:rFonts w:asciiTheme="majorHAnsi" w:hAnsiTheme="majorHAnsi" w:cstheme="majorHAnsi"/>
        </w:rPr>
      </w:pPr>
    </w:p>
    <w:p w14:paraId="69AE100E" w14:textId="661FA156" w:rsidR="001F71AF" w:rsidRDefault="004F2C1B" w:rsidP="004F2C1B">
      <w:pPr>
        <w:spacing w:line="360" w:lineRule="auto"/>
        <w:jc w:val="both"/>
        <w:rPr>
          <w:rFonts w:asciiTheme="majorHAnsi" w:hAnsiTheme="majorHAnsi" w:cstheme="majorHAnsi"/>
        </w:rPr>
      </w:pPr>
      <w:r w:rsidRPr="004F2C1B">
        <w:rPr>
          <w:rFonts w:asciiTheme="majorHAnsi" w:hAnsiTheme="majorHAnsi" w:cstheme="majorHAnsi"/>
        </w:rPr>
        <w:t>Nevertheless, it is crucial to acknowledge the analytical frontier ahead. The broader relationship between firm longevity and potential exits warrants further investigation. It remains plausible that farms exiting our dataset trajectory were already facing declining revenue streams, suggesting that potential declines in profitability could have been an inherent response mechanism.</w:t>
      </w:r>
    </w:p>
    <w:p w14:paraId="698C1335" w14:textId="77777777" w:rsidR="004F2C1B" w:rsidRPr="00E75CEB" w:rsidRDefault="004F2C1B" w:rsidP="004F2C1B">
      <w:pPr>
        <w:spacing w:line="360" w:lineRule="auto"/>
        <w:jc w:val="both"/>
        <w:rPr>
          <w:rFonts w:asciiTheme="majorHAnsi" w:hAnsiTheme="majorHAnsi" w:cstheme="majorHAnsi"/>
        </w:rPr>
      </w:pPr>
    </w:p>
    <w:p w14:paraId="6C470EEE" w14:textId="77777777" w:rsidR="00E06124" w:rsidRPr="001975D0" w:rsidRDefault="00E06124" w:rsidP="004F2C1B">
      <w:pPr>
        <w:pStyle w:val="ListParagraph"/>
        <w:numPr>
          <w:ilvl w:val="0"/>
          <w:numId w:val="17"/>
        </w:numPr>
        <w:spacing w:line="360" w:lineRule="auto"/>
        <w:jc w:val="both"/>
        <w:rPr>
          <w:rFonts w:asciiTheme="majorHAnsi" w:hAnsiTheme="majorHAnsi" w:cstheme="majorHAnsi"/>
          <w:b/>
          <w:bCs/>
        </w:rPr>
      </w:pPr>
      <w:r w:rsidRPr="001975D0">
        <w:rPr>
          <w:rFonts w:asciiTheme="majorHAnsi" w:hAnsiTheme="majorHAnsi" w:cstheme="majorHAnsi"/>
          <w:b/>
          <w:bCs/>
        </w:rPr>
        <w:lastRenderedPageBreak/>
        <w:t>Conclusion</w:t>
      </w:r>
    </w:p>
    <w:p w14:paraId="7F1DB925" w14:textId="77777777" w:rsidR="004F2C1B" w:rsidRPr="004F2C1B" w:rsidRDefault="004F2C1B" w:rsidP="004F2C1B">
      <w:pPr>
        <w:spacing w:line="360" w:lineRule="auto"/>
        <w:jc w:val="both"/>
        <w:rPr>
          <w:rFonts w:asciiTheme="majorHAnsi" w:hAnsiTheme="majorHAnsi" w:cstheme="majorHAnsi"/>
        </w:rPr>
      </w:pPr>
      <w:r w:rsidRPr="004F2C1B">
        <w:rPr>
          <w:rFonts w:asciiTheme="majorHAnsi" w:hAnsiTheme="majorHAnsi" w:cstheme="majorHAnsi"/>
        </w:rPr>
        <w:t xml:space="preserve">Utilizing a unique compilation of administrative tax records, our analysis has provided a comprehensive examination of the firm-level consequences stemming from a substantial minimum wage increase in South Africa's agricultural sector. Through our rigorous difference-in-differences estimation, our findings do not indicate an increase in aggregate </w:t>
      </w:r>
      <w:proofErr w:type="spellStart"/>
      <w:r w:rsidRPr="004F2C1B">
        <w:rPr>
          <w:rFonts w:asciiTheme="majorHAnsi" w:hAnsiTheme="majorHAnsi" w:cstheme="majorHAnsi"/>
        </w:rPr>
        <w:t>labor</w:t>
      </w:r>
      <w:proofErr w:type="spellEnd"/>
      <w:r w:rsidRPr="004F2C1B">
        <w:rPr>
          <w:rFonts w:asciiTheme="majorHAnsi" w:hAnsiTheme="majorHAnsi" w:cstheme="majorHAnsi"/>
        </w:rPr>
        <w:t xml:space="preserve"> expenses for the affected entities. However, there is a clear and progressively increasing trend in per-employee </w:t>
      </w:r>
      <w:proofErr w:type="spellStart"/>
      <w:r w:rsidRPr="004F2C1B">
        <w:rPr>
          <w:rFonts w:asciiTheme="majorHAnsi" w:hAnsiTheme="majorHAnsi" w:cstheme="majorHAnsi"/>
        </w:rPr>
        <w:t>labor</w:t>
      </w:r>
      <w:proofErr w:type="spellEnd"/>
      <w:r w:rsidRPr="004F2C1B">
        <w:rPr>
          <w:rFonts w:asciiTheme="majorHAnsi" w:hAnsiTheme="majorHAnsi" w:cstheme="majorHAnsi"/>
        </w:rPr>
        <w:t xml:space="preserve"> expenditures, a trend that corresponds with concurrent reductions in the size of the workforce. These dynamics suggest that the agricultural entities subject to the new wage landscape chose to downsize their workforce as a strategic response to mitigate the pronounced </w:t>
      </w:r>
      <w:proofErr w:type="spellStart"/>
      <w:r w:rsidRPr="004F2C1B">
        <w:rPr>
          <w:rFonts w:asciiTheme="majorHAnsi" w:hAnsiTheme="majorHAnsi" w:cstheme="majorHAnsi"/>
        </w:rPr>
        <w:t>labor</w:t>
      </w:r>
      <w:proofErr w:type="spellEnd"/>
      <w:r w:rsidRPr="004F2C1B">
        <w:rPr>
          <w:rFonts w:asciiTheme="majorHAnsi" w:hAnsiTheme="majorHAnsi" w:cstheme="majorHAnsi"/>
        </w:rPr>
        <w:t xml:space="preserve"> cost increases resulting from the adjusted wage floor.</w:t>
      </w:r>
    </w:p>
    <w:p w14:paraId="3254CD3C" w14:textId="77777777" w:rsidR="004F2C1B" w:rsidRPr="004F2C1B" w:rsidRDefault="004F2C1B" w:rsidP="004F2C1B">
      <w:pPr>
        <w:spacing w:line="360" w:lineRule="auto"/>
        <w:jc w:val="both"/>
        <w:rPr>
          <w:rFonts w:asciiTheme="majorHAnsi" w:hAnsiTheme="majorHAnsi" w:cstheme="majorHAnsi"/>
        </w:rPr>
      </w:pPr>
    </w:p>
    <w:p w14:paraId="4ACA7175" w14:textId="7A5235F5" w:rsidR="00E06124" w:rsidRDefault="004F2C1B" w:rsidP="004F2C1B">
      <w:pPr>
        <w:spacing w:line="360" w:lineRule="auto"/>
        <w:jc w:val="both"/>
        <w:rPr>
          <w:rFonts w:asciiTheme="majorHAnsi" w:hAnsiTheme="majorHAnsi" w:cstheme="majorHAnsi"/>
          <w:lang w:val="en-US"/>
        </w:rPr>
        <w:sectPr w:rsidR="00E06124" w:rsidSect="000430EC">
          <w:pgSz w:w="12240" w:h="15840"/>
          <w:pgMar w:top="1440" w:right="1440" w:bottom="1440" w:left="1440" w:header="708" w:footer="708" w:gutter="0"/>
          <w:cols w:space="708"/>
          <w:docGrid w:linePitch="360"/>
        </w:sectPr>
      </w:pPr>
      <w:r w:rsidRPr="004F2C1B">
        <w:rPr>
          <w:rFonts w:asciiTheme="majorHAnsi" w:hAnsiTheme="majorHAnsi" w:cstheme="majorHAnsi"/>
        </w:rPr>
        <w:t xml:space="preserve">Remarkably, these same entities, now operating with a reduced </w:t>
      </w:r>
      <w:proofErr w:type="spellStart"/>
      <w:r w:rsidRPr="004F2C1B">
        <w:rPr>
          <w:rFonts w:asciiTheme="majorHAnsi" w:hAnsiTheme="majorHAnsi" w:cstheme="majorHAnsi"/>
        </w:rPr>
        <w:t>labor</w:t>
      </w:r>
      <w:proofErr w:type="spellEnd"/>
      <w:r w:rsidRPr="004F2C1B">
        <w:rPr>
          <w:rFonts w:asciiTheme="majorHAnsi" w:hAnsiTheme="majorHAnsi" w:cstheme="majorHAnsi"/>
        </w:rPr>
        <w:t xml:space="preserve"> force and maintaining their capital expenditures at pre-policy levels, managed to sustain their revenue levels. Typically, in the "tradable" agricultural sector, revenue levels might plateau or even decline in response to wage inflation. However, our insights present a nuanced narrative: the primary adaptation mechanism appears to be workforce recalibration. Consequently, our data suggests a compelling proposition—South Africa's minimum wage policy may have unintentionally stimulated efficiency improvements within its agricultural sector. This enhanced efficiency could potentially be attributed to strategic workforce optimization—removing less productive employees while retaining a core of highly productive workers, thereby ensuring revenue consistency.</w:t>
      </w:r>
    </w:p>
    <w:p w14:paraId="536F81C6" w14:textId="77777777" w:rsidR="00E06124" w:rsidRDefault="00E06124" w:rsidP="00CF21D5">
      <w:pPr>
        <w:spacing w:line="360" w:lineRule="auto"/>
        <w:ind w:left="720" w:hanging="720"/>
        <w:jc w:val="both"/>
        <w:rPr>
          <w:rFonts w:asciiTheme="majorHAnsi" w:hAnsiTheme="majorHAnsi" w:cstheme="majorHAnsi"/>
          <w:lang w:val="en-US"/>
        </w:rPr>
      </w:pPr>
    </w:p>
    <w:p w14:paraId="77D274D3" w14:textId="77777777" w:rsidR="00E06124" w:rsidRDefault="00E06124"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t xml:space="preserve">   Appendix A : Regression Table </w:t>
      </w:r>
    </w:p>
    <w:tbl>
      <w:tblPr>
        <w:tblW w:w="11318" w:type="dxa"/>
        <w:jc w:val="center"/>
        <w:tblLook w:val="04A0" w:firstRow="1" w:lastRow="0" w:firstColumn="1" w:lastColumn="0" w:noHBand="0" w:noVBand="1"/>
      </w:tblPr>
      <w:tblGrid>
        <w:gridCol w:w="1209"/>
        <w:gridCol w:w="1303"/>
        <w:gridCol w:w="1130"/>
        <w:gridCol w:w="1210"/>
        <w:gridCol w:w="1210"/>
        <w:gridCol w:w="868"/>
        <w:gridCol w:w="868"/>
        <w:gridCol w:w="892"/>
        <w:gridCol w:w="892"/>
        <w:gridCol w:w="868"/>
        <w:gridCol w:w="868"/>
      </w:tblGrid>
      <w:tr w:rsidR="00E06124" w:rsidRPr="00512434" w14:paraId="06E64F60" w14:textId="77777777" w:rsidTr="00683053">
        <w:trPr>
          <w:trHeight w:val="277"/>
          <w:jc w:val="center"/>
        </w:trPr>
        <w:tc>
          <w:tcPr>
            <w:tcW w:w="1209" w:type="dxa"/>
            <w:tcBorders>
              <w:top w:val="single" w:sz="4" w:space="0" w:color="auto"/>
              <w:left w:val="nil"/>
              <w:bottom w:val="single" w:sz="8" w:space="0" w:color="auto"/>
              <w:right w:val="nil"/>
            </w:tcBorders>
            <w:shd w:val="clear" w:color="auto" w:fill="auto"/>
            <w:noWrap/>
            <w:vAlign w:val="bottom"/>
            <w:hideMark/>
          </w:tcPr>
          <w:p w14:paraId="5FD8B212" w14:textId="77777777" w:rsidR="00E06124" w:rsidRPr="00512434" w:rsidRDefault="00E06124" w:rsidP="006D5428">
            <w:pPr>
              <w:rPr>
                <w:rFonts w:asciiTheme="majorHAnsi" w:eastAsia="Times New Roman" w:hAnsiTheme="majorHAnsi" w:cstheme="majorHAnsi"/>
                <w:b/>
                <w:bCs/>
                <w:color w:val="000000"/>
                <w:sz w:val="16"/>
                <w:szCs w:val="16"/>
                <w:lang w:eastAsia="en-GB"/>
              </w:rPr>
            </w:pPr>
          </w:p>
        </w:tc>
        <w:tc>
          <w:tcPr>
            <w:tcW w:w="1303" w:type="dxa"/>
            <w:tcBorders>
              <w:top w:val="single" w:sz="4" w:space="0" w:color="auto"/>
              <w:left w:val="nil"/>
              <w:bottom w:val="single" w:sz="8" w:space="0" w:color="auto"/>
              <w:right w:val="nil"/>
            </w:tcBorders>
            <w:shd w:val="clear" w:color="auto" w:fill="auto"/>
            <w:noWrap/>
            <w:vAlign w:val="bottom"/>
            <w:hideMark/>
          </w:tcPr>
          <w:p w14:paraId="17343A47" w14:textId="77777777" w:rsidR="00E06124" w:rsidRPr="00512434" w:rsidRDefault="00E06124" w:rsidP="006D5428">
            <w:pPr>
              <w:rPr>
                <w:rFonts w:asciiTheme="majorHAnsi" w:eastAsia="Times New Roman" w:hAnsiTheme="majorHAnsi" w:cstheme="majorHAnsi"/>
                <w:b/>
                <w:bCs/>
                <w:color w:val="000000"/>
                <w:sz w:val="16"/>
                <w:szCs w:val="16"/>
                <w:lang w:eastAsia="en-GB"/>
              </w:rPr>
            </w:pPr>
            <w:proofErr w:type="spellStart"/>
            <w:r w:rsidRPr="00512434">
              <w:rPr>
                <w:rFonts w:asciiTheme="majorHAnsi" w:eastAsia="Times New Roman" w:hAnsiTheme="majorHAnsi" w:cstheme="majorHAnsi"/>
                <w:b/>
                <w:bCs/>
                <w:color w:val="000000"/>
                <w:sz w:val="16"/>
                <w:szCs w:val="16"/>
                <w:lang w:val="en-US" w:eastAsia="en-GB"/>
              </w:rPr>
              <w:t>Labour</w:t>
            </w:r>
            <w:proofErr w:type="spellEnd"/>
            <w:r w:rsidRPr="00512434">
              <w:rPr>
                <w:rFonts w:asciiTheme="majorHAnsi" w:eastAsia="Times New Roman" w:hAnsiTheme="majorHAnsi" w:cstheme="majorHAnsi"/>
                <w:b/>
                <w:bCs/>
                <w:color w:val="000000"/>
                <w:sz w:val="16"/>
                <w:szCs w:val="16"/>
                <w:lang w:val="en-US" w:eastAsia="en-GB"/>
              </w:rPr>
              <w:t xml:space="preserve"> cost </w:t>
            </w:r>
          </w:p>
        </w:tc>
        <w:tc>
          <w:tcPr>
            <w:tcW w:w="1130" w:type="dxa"/>
            <w:tcBorders>
              <w:top w:val="single" w:sz="4" w:space="0" w:color="auto"/>
              <w:left w:val="nil"/>
              <w:bottom w:val="single" w:sz="8" w:space="0" w:color="auto"/>
              <w:right w:val="nil"/>
            </w:tcBorders>
            <w:shd w:val="clear" w:color="auto" w:fill="auto"/>
            <w:noWrap/>
            <w:vAlign w:val="bottom"/>
            <w:hideMark/>
          </w:tcPr>
          <w:p w14:paraId="49AC722F" w14:textId="77777777" w:rsidR="00E06124" w:rsidRPr="00512434" w:rsidRDefault="00E06124" w:rsidP="006D5428">
            <w:pPr>
              <w:rPr>
                <w:rFonts w:asciiTheme="majorHAnsi" w:eastAsia="Times New Roman" w:hAnsiTheme="majorHAnsi" w:cstheme="majorHAnsi"/>
                <w:b/>
                <w:bCs/>
                <w:color w:val="000000"/>
                <w:sz w:val="16"/>
                <w:szCs w:val="16"/>
                <w:lang w:eastAsia="en-GB"/>
              </w:rPr>
            </w:pPr>
            <w:proofErr w:type="spellStart"/>
            <w:r w:rsidRPr="00512434">
              <w:rPr>
                <w:rFonts w:asciiTheme="majorHAnsi" w:eastAsia="Times New Roman" w:hAnsiTheme="majorHAnsi" w:cstheme="majorHAnsi"/>
                <w:b/>
                <w:bCs/>
                <w:color w:val="000000"/>
                <w:sz w:val="16"/>
                <w:szCs w:val="16"/>
                <w:lang w:val="en-US" w:eastAsia="en-GB"/>
              </w:rPr>
              <w:t>Labour</w:t>
            </w:r>
            <w:proofErr w:type="spellEnd"/>
            <w:r w:rsidRPr="00512434">
              <w:rPr>
                <w:rFonts w:asciiTheme="majorHAnsi" w:eastAsia="Times New Roman" w:hAnsiTheme="majorHAnsi" w:cstheme="majorHAnsi"/>
                <w:b/>
                <w:bCs/>
                <w:color w:val="000000"/>
                <w:sz w:val="16"/>
                <w:szCs w:val="16"/>
                <w:lang w:val="en-US" w:eastAsia="en-GB"/>
              </w:rPr>
              <w:t xml:space="preserve"> cost</w:t>
            </w:r>
          </w:p>
        </w:tc>
        <w:tc>
          <w:tcPr>
            <w:tcW w:w="1210" w:type="dxa"/>
            <w:tcBorders>
              <w:top w:val="single" w:sz="4" w:space="0" w:color="auto"/>
              <w:left w:val="nil"/>
              <w:bottom w:val="single" w:sz="8" w:space="0" w:color="auto"/>
              <w:right w:val="nil"/>
            </w:tcBorders>
            <w:shd w:val="clear" w:color="auto" w:fill="auto"/>
            <w:noWrap/>
            <w:vAlign w:val="bottom"/>
            <w:hideMark/>
          </w:tcPr>
          <w:p w14:paraId="77A55E58" w14:textId="77777777" w:rsidR="00E06124" w:rsidRPr="00512434" w:rsidRDefault="00E06124" w:rsidP="006D5428">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Employment</w:t>
            </w:r>
          </w:p>
        </w:tc>
        <w:tc>
          <w:tcPr>
            <w:tcW w:w="1210" w:type="dxa"/>
            <w:tcBorders>
              <w:top w:val="single" w:sz="4" w:space="0" w:color="auto"/>
              <w:left w:val="nil"/>
              <w:bottom w:val="single" w:sz="8" w:space="0" w:color="auto"/>
              <w:right w:val="nil"/>
            </w:tcBorders>
            <w:shd w:val="clear" w:color="auto" w:fill="auto"/>
            <w:noWrap/>
            <w:vAlign w:val="bottom"/>
            <w:hideMark/>
          </w:tcPr>
          <w:p w14:paraId="1E215E0A" w14:textId="77777777" w:rsidR="00E06124" w:rsidRPr="00512434" w:rsidRDefault="00E06124" w:rsidP="006D5428">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Employment</w:t>
            </w:r>
          </w:p>
        </w:tc>
        <w:tc>
          <w:tcPr>
            <w:tcW w:w="868" w:type="dxa"/>
            <w:tcBorders>
              <w:top w:val="single" w:sz="4" w:space="0" w:color="auto"/>
              <w:left w:val="nil"/>
              <w:bottom w:val="single" w:sz="8" w:space="0" w:color="auto"/>
              <w:right w:val="nil"/>
            </w:tcBorders>
            <w:shd w:val="clear" w:color="auto" w:fill="auto"/>
            <w:noWrap/>
            <w:vAlign w:val="bottom"/>
            <w:hideMark/>
          </w:tcPr>
          <w:p w14:paraId="01217A15" w14:textId="77777777" w:rsidR="00E06124" w:rsidRPr="00512434" w:rsidRDefault="00E06124" w:rsidP="006D5428">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Capital</w:t>
            </w:r>
          </w:p>
        </w:tc>
        <w:tc>
          <w:tcPr>
            <w:tcW w:w="868" w:type="dxa"/>
            <w:tcBorders>
              <w:top w:val="single" w:sz="4" w:space="0" w:color="auto"/>
              <w:left w:val="nil"/>
              <w:bottom w:val="single" w:sz="8" w:space="0" w:color="auto"/>
              <w:right w:val="nil"/>
            </w:tcBorders>
            <w:shd w:val="clear" w:color="auto" w:fill="auto"/>
            <w:noWrap/>
            <w:vAlign w:val="bottom"/>
            <w:hideMark/>
          </w:tcPr>
          <w:p w14:paraId="7C551FF0" w14:textId="77777777" w:rsidR="00E06124" w:rsidRPr="00512434" w:rsidRDefault="00E06124" w:rsidP="006D5428">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Capital</w:t>
            </w:r>
          </w:p>
        </w:tc>
        <w:tc>
          <w:tcPr>
            <w:tcW w:w="892" w:type="dxa"/>
            <w:tcBorders>
              <w:top w:val="single" w:sz="4" w:space="0" w:color="auto"/>
              <w:left w:val="nil"/>
              <w:bottom w:val="single" w:sz="8" w:space="0" w:color="auto"/>
              <w:right w:val="nil"/>
            </w:tcBorders>
            <w:shd w:val="clear" w:color="auto" w:fill="auto"/>
            <w:noWrap/>
            <w:vAlign w:val="bottom"/>
            <w:hideMark/>
          </w:tcPr>
          <w:p w14:paraId="68B72FC0" w14:textId="77777777" w:rsidR="00E06124" w:rsidRPr="00512434" w:rsidRDefault="00E06124" w:rsidP="006D5428">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Revenue</w:t>
            </w:r>
          </w:p>
        </w:tc>
        <w:tc>
          <w:tcPr>
            <w:tcW w:w="892" w:type="dxa"/>
            <w:tcBorders>
              <w:top w:val="single" w:sz="4" w:space="0" w:color="auto"/>
              <w:left w:val="nil"/>
              <w:bottom w:val="single" w:sz="8" w:space="0" w:color="auto"/>
              <w:right w:val="nil"/>
            </w:tcBorders>
            <w:shd w:val="clear" w:color="auto" w:fill="auto"/>
            <w:noWrap/>
            <w:vAlign w:val="bottom"/>
            <w:hideMark/>
          </w:tcPr>
          <w:p w14:paraId="56AFBDFA" w14:textId="77777777" w:rsidR="00E06124" w:rsidRPr="00512434" w:rsidRDefault="00E06124" w:rsidP="006D5428">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Revenue</w:t>
            </w:r>
          </w:p>
        </w:tc>
        <w:tc>
          <w:tcPr>
            <w:tcW w:w="868" w:type="dxa"/>
            <w:tcBorders>
              <w:top w:val="single" w:sz="4" w:space="0" w:color="auto"/>
              <w:left w:val="nil"/>
              <w:bottom w:val="single" w:sz="8" w:space="0" w:color="auto"/>
              <w:right w:val="nil"/>
            </w:tcBorders>
            <w:shd w:val="clear" w:color="auto" w:fill="auto"/>
            <w:noWrap/>
            <w:vAlign w:val="bottom"/>
            <w:hideMark/>
          </w:tcPr>
          <w:p w14:paraId="2F1808DF" w14:textId="77777777" w:rsidR="00E06124" w:rsidRPr="00512434" w:rsidRDefault="00E06124" w:rsidP="006D5428">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Profit</w:t>
            </w:r>
          </w:p>
        </w:tc>
        <w:tc>
          <w:tcPr>
            <w:tcW w:w="868" w:type="dxa"/>
            <w:tcBorders>
              <w:top w:val="single" w:sz="4" w:space="0" w:color="auto"/>
              <w:left w:val="nil"/>
              <w:bottom w:val="single" w:sz="8" w:space="0" w:color="auto"/>
              <w:right w:val="nil"/>
            </w:tcBorders>
            <w:shd w:val="clear" w:color="auto" w:fill="auto"/>
            <w:noWrap/>
            <w:vAlign w:val="bottom"/>
            <w:hideMark/>
          </w:tcPr>
          <w:p w14:paraId="48191FD0" w14:textId="77777777" w:rsidR="00E06124" w:rsidRPr="00512434" w:rsidRDefault="00E06124" w:rsidP="006D5428">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Profit</w:t>
            </w:r>
          </w:p>
        </w:tc>
      </w:tr>
      <w:tr w:rsidR="00E06124" w:rsidRPr="00512434" w14:paraId="6BF1E353"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C7FBD10" w14:textId="77777777" w:rsidR="00E06124" w:rsidRPr="00512434" w:rsidRDefault="00E06124" w:rsidP="006D5428">
            <w:pP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 xml:space="preserve"> </w:t>
            </w:r>
          </w:p>
        </w:tc>
        <w:tc>
          <w:tcPr>
            <w:tcW w:w="1303" w:type="dxa"/>
            <w:tcBorders>
              <w:top w:val="nil"/>
              <w:left w:val="nil"/>
              <w:bottom w:val="nil"/>
              <w:right w:val="nil"/>
            </w:tcBorders>
            <w:shd w:val="clear" w:color="auto" w:fill="auto"/>
            <w:noWrap/>
            <w:vAlign w:val="bottom"/>
            <w:hideMark/>
          </w:tcPr>
          <w:p w14:paraId="5B84E893" w14:textId="77777777" w:rsidR="00E06124" w:rsidRPr="00512434" w:rsidRDefault="00E06124" w:rsidP="006D5428">
            <w:pPr>
              <w:rPr>
                <w:rFonts w:asciiTheme="majorHAnsi" w:eastAsia="Times New Roman" w:hAnsiTheme="majorHAnsi" w:cstheme="majorHAnsi"/>
                <w:color w:val="000000"/>
                <w:sz w:val="16"/>
                <w:szCs w:val="16"/>
                <w:lang w:eastAsia="en-GB"/>
              </w:rPr>
            </w:pPr>
          </w:p>
        </w:tc>
        <w:tc>
          <w:tcPr>
            <w:tcW w:w="1130" w:type="dxa"/>
            <w:tcBorders>
              <w:top w:val="nil"/>
              <w:left w:val="nil"/>
              <w:bottom w:val="nil"/>
              <w:right w:val="nil"/>
            </w:tcBorders>
            <w:shd w:val="clear" w:color="auto" w:fill="auto"/>
            <w:noWrap/>
            <w:vAlign w:val="bottom"/>
            <w:hideMark/>
          </w:tcPr>
          <w:p w14:paraId="14DB4079" w14:textId="77777777" w:rsidR="00E06124" w:rsidRPr="00512434" w:rsidRDefault="00E06124" w:rsidP="006D5428">
            <w:pPr>
              <w:rPr>
                <w:rFonts w:asciiTheme="majorHAnsi" w:eastAsia="Times New Roman" w:hAnsiTheme="majorHAnsi" w:cstheme="majorHAnsi"/>
                <w:sz w:val="16"/>
                <w:szCs w:val="16"/>
                <w:lang w:eastAsia="en-GB"/>
              </w:rPr>
            </w:pPr>
          </w:p>
        </w:tc>
        <w:tc>
          <w:tcPr>
            <w:tcW w:w="1210" w:type="dxa"/>
            <w:tcBorders>
              <w:top w:val="nil"/>
              <w:left w:val="nil"/>
              <w:bottom w:val="nil"/>
              <w:right w:val="nil"/>
            </w:tcBorders>
            <w:shd w:val="clear" w:color="auto" w:fill="auto"/>
            <w:noWrap/>
            <w:vAlign w:val="bottom"/>
            <w:hideMark/>
          </w:tcPr>
          <w:p w14:paraId="3A45191B" w14:textId="77777777" w:rsidR="00E06124" w:rsidRPr="00512434" w:rsidRDefault="00E06124" w:rsidP="006D5428">
            <w:pPr>
              <w:rPr>
                <w:rFonts w:asciiTheme="majorHAnsi" w:eastAsia="Times New Roman" w:hAnsiTheme="majorHAnsi" w:cstheme="majorHAnsi"/>
                <w:sz w:val="16"/>
                <w:szCs w:val="16"/>
                <w:lang w:eastAsia="en-GB"/>
              </w:rPr>
            </w:pPr>
          </w:p>
        </w:tc>
        <w:tc>
          <w:tcPr>
            <w:tcW w:w="1210" w:type="dxa"/>
            <w:tcBorders>
              <w:top w:val="nil"/>
              <w:left w:val="nil"/>
              <w:bottom w:val="nil"/>
              <w:right w:val="nil"/>
            </w:tcBorders>
            <w:shd w:val="clear" w:color="auto" w:fill="auto"/>
            <w:noWrap/>
            <w:vAlign w:val="bottom"/>
            <w:hideMark/>
          </w:tcPr>
          <w:p w14:paraId="07E0EEAA" w14:textId="77777777" w:rsidR="00E06124" w:rsidRPr="00512434" w:rsidRDefault="00E06124" w:rsidP="006D5428">
            <w:pPr>
              <w:rPr>
                <w:rFonts w:asciiTheme="majorHAnsi" w:eastAsia="Times New Roman" w:hAnsiTheme="majorHAnsi" w:cstheme="majorHAnsi"/>
                <w:sz w:val="16"/>
                <w:szCs w:val="16"/>
                <w:lang w:eastAsia="en-GB"/>
              </w:rPr>
            </w:pPr>
          </w:p>
        </w:tc>
        <w:tc>
          <w:tcPr>
            <w:tcW w:w="868" w:type="dxa"/>
            <w:tcBorders>
              <w:top w:val="nil"/>
              <w:left w:val="nil"/>
              <w:bottom w:val="nil"/>
              <w:right w:val="nil"/>
            </w:tcBorders>
            <w:shd w:val="clear" w:color="auto" w:fill="auto"/>
            <w:noWrap/>
            <w:vAlign w:val="bottom"/>
            <w:hideMark/>
          </w:tcPr>
          <w:p w14:paraId="5B3098AB" w14:textId="77777777" w:rsidR="00E06124" w:rsidRPr="00512434" w:rsidRDefault="00E06124" w:rsidP="006D5428">
            <w:pPr>
              <w:rPr>
                <w:rFonts w:asciiTheme="majorHAnsi" w:eastAsia="Times New Roman" w:hAnsiTheme="majorHAnsi" w:cstheme="majorHAnsi"/>
                <w:sz w:val="16"/>
                <w:szCs w:val="16"/>
                <w:lang w:eastAsia="en-GB"/>
              </w:rPr>
            </w:pPr>
          </w:p>
        </w:tc>
        <w:tc>
          <w:tcPr>
            <w:tcW w:w="868" w:type="dxa"/>
            <w:tcBorders>
              <w:top w:val="nil"/>
              <w:left w:val="nil"/>
              <w:bottom w:val="nil"/>
              <w:right w:val="nil"/>
            </w:tcBorders>
            <w:shd w:val="clear" w:color="auto" w:fill="auto"/>
            <w:noWrap/>
            <w:vAlign w:val="bottom"/>
            <w:hideMark/>
          </w:tcPr>
          <w:p w14:paraId="725DB8B3" w14:textId="77777777" w:rsidR="00E06124" w:rsidRPr="00512434" w:rsidRDefault="00E06124" w:rsidP="006D5428">
            <w:pPr>
              <w:rPr>
                <w:rFonts w:asciiTheme="majorHAnsi" w:eastAsia="Times New Roman" w:hAnsiTheme="majorHAnsi" w:cstheme="majorHAnsi"/>
                <w:sz w:val="16"/>
                <w:szCs w:val="16"/>
                <w:lang w:eastAsia="en-GB"/>
              </w:rPr>
            </w:pPr>
          </w:p>
        </w:tc>
        <w:tc>
          <w:tcPr>
            <w:tcW w:w="892" w:type="dxa"/>
            <w:tcBorders>
              <w:top w:val="nil"/>
              <w:left w:val="nil"/>
              <w:bottom w:val="nil"/>
              <w:right w:val="nil"/>
            </w:tcBorders>
            <w:shd w:val="clear" w:color="auto" w:fill="auto"/>
            <w:noWrap/>
            <w:vAlign w:val="bottom"/>
            <w:hideMark/>
          </w:tcPr>
          <w:p w14:paraId="1083B067" w14:textId="77777777" w:rsidR="00E06124" w:rsidRPr="00512434" w:rsidRDefault="00E06124" w:rsidP="006D5428">
            <w:pPr>
              <w:rPr>
                <w:rFonts w:asciiTheme="majorHAnsi" w:eastAsia="Times New Roman" w:hAnsiTheme="majorHAnsi" w:cstheme="majorHAnsi"/>
                <w:sz w:val="16"/>
                <w:szCs w:val="16"/>
                <w:lang w:eastAsia="en-GB"/>
              </w:rPr>
            </w:pPr>
          </w:p>
        </w:tc>
        <w:tc>
          <w:tcPr>
            <w:tcW w:w="892" w:type="dxa"/>
            <w:tcBorders>
              <w:top w:val="nil"/>
              <w:left w:val="nil"/>
              <w:bottom w:val="nil"/>
              <w:right w:val="nil"/>
            </w:tcBorders>
            <w:shd w:val="clear" w:color="auto" w:fill="auto"/>
            <w:noWrap/>
            <w:vAlign w:val="bottom"/>
            <w:hideMark/>
          </w:tcPr>
          <w:p w14:paraId="27131F2F" w14:textId="77777777" w:rsidR="00E06124" w:rsidRPr="00512434" w:rsidRDefault="00E06124" w:rsidP="006D5428">
            <w:pPr>
              <w:rPr>
                <w:rFonts w:asciiTheme="majorHAnsi" w:eastAsia="Times New Roman" w:hAnsiTheme="majorHAnsi" w:cstheme="majorHAnsi"/>
                <w:sz w:val="16"/>
                <w:szCs w:val="16"/>
                <w:lang w:eastAsia="en-GB"/>
              </w:rPr>
            </w:pPr>
          </w:p>
        </w:tc>
        <w:tc>
          <w:tcPr>
            <w:tcW w:w="868" w:type="dxa"/>
            <w:tcBorders>
              <w:top w:val="nil"/>
              <w:left w:val="nil"/>
              <w:bottom w:val="nil"/>
              <w:right w:val="nil"/>
            </w:tcBorders>
            <w:shd w:val="clear" w:color="auto" w:fill="auto"/>
            <w:noWrap/>
            <w:vAlign w:val="bottom"/>
            <w:hideMark/>
          </w:tcPr>
          <w:p w14:paraId="23A017A8" w14:textId="77777777" w:rsidR="00E06124" w:rsidRPr="00512434" w:rsidRDefault="00E06124" w:rsidP="006D5428">
            <w:pPr>
              <w:rPr>
                <w:rFonts w:asciiTheme="majorHAnsi" w:eastAsia="Times New Roman" w:hAnsiTheme="majorHAnsi" w:cstheme="majorHAnsi"/>
                <w:sz w:val="16"/>
                <w:szCs w:val="16"/>
                <w:lang w:eastAsia="en-GB"/>
              </w:rPr>
            </w:pPr>
          </w:p>
        </w:tc>
        <w:tc>
          <w:tcPr>
            <w:tcW w:w="868" w:type="dxa"/>
            <w:tcBorders>
              <w:top w:val="nil"/>
              <w:left w:val="nil"/>
              <w:bottom w:val="nil"/>
              <w:right w:val="nil"/>
            </w:tcBorders>
            <w:shd w:val="clear" w:color="auto" w:fill="auto"/>
            <w:noWrap/>
            <w:vAlign w:val="bottom"/>
            <w:hideMark/>
          </w:tcPr>
          <w:p w14:paraId="4FB849BE" w14:textId="77777777" w:rsidR="00E06124" w:rsidRPr="00512434" w:rsidRDefault="00E06124" w:rsidP="006D5428">
            <w:pPr>
              <w:rPr>
                <w:rFonts w:asciiTheme="majorHAnsi" w:eastAsia="Times New Roman" w:hAnsiTheme="majorHAnsi" w:cstheme="majorHAnsi"/>
                <w:sz w:val="16"/>
                <w:szCs w:val="16"/>
                <w:lang w:eastAsia="en-GB"/>
              </w:rPr>
            </w:pPr>
          </w:p>
        </w:tc>
      </w:tr>
      <w:tr w:rsidR="00E06124" w:rsidRPr="00512434" w14:paraId="416B10FB"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39AAD72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fa*2011</w:t>
            </w:r>
          </w:p>
        </w:tc>
        <w:tc>
          <w:tcPr>
            <w:tcW w:w="1303" w:type="dxa"/>
            <w:tcBorders>
              <w:top w:val="nil"/>
              <w:left w:val="nil"/>
              <w:bottom w:val="nil"/>
              <w:right w:val="nil"/>
            </w:tcBorders>
            <w:shd w:val="clear" w:color="auto" w:fill="auto"/>
            <w:noWrap/>
            <w:vAlign w:val="bottom"/>
            <w:hideMark/>
          </w:tcPr>
          <w:p w14:paraId="6A0D7BB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0.308</w:t>
            </w:r>
          </w:p>
        </w:tc>
        <w:tc>
          <w:tcPr>
            <w:tcW w:w="1130" w:type="dxa"/>
            <w:tcBorders>
              <w:top w:val="nil"/>
              <w:left w:val="nil"/>
              <w:bottom w:val="nil"/>
              <w:right w:val="nil"/>
            </w:tcBorders>
            <w:shd w:val="clear" w:color="auto" w:fill="auto"/>
            <w:noWrap/>
            <w:vAlign w:val="bottom"/>
            <w:hideMark/>
          </w:tcPr>
          <w:p w14:paraId="2250E9D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-0.149</w:t>
            </w:r>
          </w:p>
        </w:tc>
        <w:tc>
          <w:tcPr>
            <w:tcW w:w="1210" w:type="dxa"/>
            <w:tcBorders>
              <w:top w:val="nil"/>
              <w:left w:val="nil"/>
              <w:bottom w:val="nil"/>
              <w:right w:val="nil"/>
            </w:tcBorders>
            <w:shd w:val="clear" w:color="auto" w:fill="auto"/>
            <w:noWrap/>
            <w:vAlign w:val="bottom"/>
            <w:hideMark/>
          </w:tcPr>
          <w:p w14:paraId="1526967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0.199</w:t>
            </w:r>
          </w:p>
        </w:tc>
        <w:tc>
          <w:tcPr>
            <w:tcW w:w="1210" w:type="dxa"/>
            <w:tcBorders>
              <w:top w:val="nil"/>
              <w:left w:val="nil"/>
              <w:bottom w:val="nil"/>
              <w:right w:val="nil"/>
            </w:tcBorders>
            <w:shd w:val="clear" w:color="auto" w:fill="auto"/>
            <w:noWrap/>
            <w:vAlign w:val="bottom"/>
            <w:hideMark/>
          </w:tcPr>
          <w:p w14:paraId="0467657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-0.083</w:t>
            </w:r>
          </w:p>
        </w:tc>
        <w:tc>
          <w:tcPr>
            <w:tcW w:w="868" w:type="dxa"/>
            <w:tcBorders>
              <w:top w:val="nil"/>
              <w:left w:val="nil"/>
              <w:bottom w:val="nil"/>
              <w:right w:val="nil"/>
            </w:tcBorders>
            <w:shd w:val="clear" w:color="auto" w:fill="auto"/>
            <w:noWrap/>
            <w:vAlign w:val="bottom"/>
            <w:hideMark/>
          </w:tcPr>
          <w:p w14:paraId="0DAD5BD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0.585</w:t>
            </w:r>
          </w:p>
        </w:tc>
        <w:tc>
          <w:tcPr>
            <w:tcW w:w="868" w:type="dxa"/>
            <w:tcBorders>
              <w:top w:val="nil"/>
              <w:left w:val="nil"/>
              <w:bottom w:val="nil"/>
              <w:right w:val="nil"/>
            </w:tcBorders>
            <w:shd w:val="clear" w:color="auto" w:fill="auto"/>
            <w:noWrap/>
            <w:vAlign w:val="bottom"/>
            <w:hideMark/>
          </w:tcPr>
          <w:p w14:paraId="4EA8B1A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0.334</w:t>
            </w:r>
          </w:p>
        </w:tc>
        <w:tc>
          <w:tcPr>
            <w:tcW w:w="892" w:type="dxa"/>
            <w:tcBorders>
              <w:top w:val="nil"/>
              <w:left w:val="nil"/>
              <w:bottom w:val="nil"/>
              <w:right w:val="nil"/>
            </w:tcBorders>
            <w:shd w:val="clear" w:color="auto" w:fill="auto"/>
            <w:noWrap/>
            <w:vAlign w:val="bottom"/>
            <w:hideMark/>
          </w:tcPr>
          <w:p w14:paraId="38B515A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0.225</w:t>
            </w:r>
          </w:p>
        </w:tc>
        <w:tc>
          <w:tcPr>
            <w:tcW w:w="892" w:type="dxa"/>
            <w:tcBorders>
              <w:top w:val="nil"/>
              <w:left w:val="nil"/>
              <w:bottom w:val="nil"/>
              <w:right w:val="nil"/>
            </w:tcBorders>
            <w:shd w:val="clear" w:color="auto" w:fill="auto"/>
            <w:noWrap/>
            <w:vAlign w:val="bottom"/>
            <w:hideMark/>
          </w:tcPr>
          <w:p w14:paraId="160BD54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-0.358</w:t>
            </w:r>
          </w:p>
        </w:tc>
        <w:tc>
          <w:tcPr>
            <w:tcW w:w="868" w:type="dxa"/>
            <w:tcBorders>
              <w:top w:val="nil"/>
              <w:left w:val="nil"/>
              <w:bottom w:val="nil"/>
              <w:right w:val="nil"/>
            </w:tcBorders>
            <w:shd w:val="clear" w:color="auto" w:fill="auto"/>
            <w:noWrap/>
            <w:vAlign w:val="bottom"/>
            <w:hideMark/>
          </w:tcPr>
          <w:p w14:paraId="5F00B33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-0.125</w:t>
            </w:r>
          </w:p>
        </w:tc>
        <w:tc>
          <w:tcPr>
            <w:tcW w:w="868" w:type="dxa"/>
            <w:tcBorders>
              <w:top w:val="nil"/>
              <w:left w:val="nil"/>
              <w:bottom w:val="nil"/>
              <w:right w:val="nil"/>
            </w:tcBorders>
            <w:shd w:val="clear" w:color="auto" w:fill="auto"/>
            <w:noWrap/>
            <w:vAlign w:val="bottom"/>
            <w:hideMark/>
          </w:tcPr>
          <w:p w14:paraId="38E8434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-0.504</w:t>
            </w:r>
          </w:p>
        </w:tc>
      </w:tr>
      <w:tr w:rsidR="00E06124" w:rsidRPr="00512434" w14:paraId="307270E2"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3773A8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303" w:type="dxa"/>
            <w:tcBorders>
              <w:top w:val="nil"/>
              <w:left w:val="nil"/>
              <w:bottom w:val="nil"/>
              <w:right w:val="nil"/>
            </w:tcBorders>
            <w:shd w:val="clear" w:color="auto" w:fill="auto"/>
            <w:noWrap/>
            <w:vAlign w:val="bottom"/>
            <w:hideMark/>
          </w:tcPr>
          <w:p w14:paraId="500C787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(0.353)</w:t>
            </w:r>
          </w:p>
        </w:tc>
        <w:tc>
          <w:tcPr>
            <w:tcW w:w="1130" w:type="dxa"/>
            <w:tcBorders>
              <w:top w:val="nil"/>
              <w:left w:val="nil"/>
              <w:bottom w:val="nil"/>
              <w:right w:val="nil"/>
            </w:tcBorders>
            <w:shd w:val="clear" w:color="auto" w:fill="auto"/>
            <w:noWrap/>
            <w:vAlign w:val="bottom"/>
            <w:hideMark/>
          </w:tcPr>
          <w:p w14:paraId="0975AAD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(0.558)</w:t>
            </w:r>
          </w:p>
        </w:tc>
        <w:tc>
          <w:tcPr>
            <w:tcW w:w="1210" w:type="dxa"/>
            <w:tcBorders>
              <w:top w:val="nil"/>
              <w:left w:val="nil"/>
              <w:bottom w:val="nil"/>
              <w:right w:val="nil"/>
            </w:tcBorders>
            <w:shd w:val="clear" w:color="auto" w:fill="auto"/>
            <w:noWrap/>
            <w:vAlign w:val="bottom"/>
            <w:hideMark/>
          </w:tcPr>
          <w:p w14:paraId="0227FCD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(0.382)</w:t>
            </w:r>
          </w:p>
        </w:tc>
        <w:tc>
          <w:tcPr>
            <w:tcW w:w="1210" w:type="dxa"/>
            <w:tcBorders>
              <w:top w:val="nil"/>
              <w:left w:val="nil"/>
              <w:bottom w:val="nil"/>
              <w:right w:val="nil"/>
            </w:tcBorders>
            <w:shd w:val="clear" w:color="auto" w:fill="auto"/>
            <w:noWrap/>
            <w:vAlign w:val="bottom"/>
            <w:hideMark/>
          </w:tcPr>
          <w:p w14:paraId="531C35F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(0.507)</w:t>
            </w:r>
          </w:p>
        </w:tc>
        <w:tc>
          <w:tcPr>
            <w:tcW w:w="868" w:type="dxa"/>
            <w:tcBorders>
              <w:top w:val="nil"/>
              <w:left w:val="nil"/>
              <w:bottom w:val="nil"/>
              <w:right w:val="nil"/>
            </w:tcBorders>
            <w:shd w:val="clear" w:color="auto" w:fill="auto"/>
            <w:noWrap/>
            <w:vAlign w:val="bottom"/>
            <w:hideMark/>
          </w:tcPr>
          <w:p w14:paraId="7C4F782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(0.473)</w:t>
            </w:r>
          </w:p>
        </w:tc>
        <w:tc>
          <w:tcPr>
            <w:tcW w:w="868" w:type="dxa"/>
            <w:tcBorders>
              <w:top w:val="nil"/>
              <w:left w:val="nil"/>
              <w:bottom w:val="nil"/>
              <w:right w:val="nil"/>
            </w:tcBorders>
            <w:shd w:val="clear" w:color="auto" w:fill="auto"/>
            <w:noWrap/>
            <w:vAlign w:val="bottom"/>
            <w:hideMark/>
          </w:tcPr>
          <w:p w14:paraId="0FC2950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(0.527)</w:t>
            </w:r>
          </w:p>
        </w:tc>
        <w:tc>
          <w:tcPr>
            <w:tcW w:w="892" w:type="dxa"/>
            <w:tcBorders>
              <w:top w:val="nil"/>
              <w:left w:val="nil"/>
              <w:bottom w:val="nil"/>
              <w:right w:val="nil"/>
            </w:tcBorders>
            <w:shd w:val="clear" w:color="auto" w:fill="auto"/>
            <w:noWrap/>
            <w:vAlign w:val="bottom"/>
            <w:hideMark/>
          </w:tcPr>
          <w:p w14:paraId="36DC851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(0.393)</w:t>
            </w:r>
          </w:p>
        </w:tc>
        <w:tc>
          <w:tcPr>
            <w:tcW w:w="892" w:type="dxa"/>
            <w:tcBorders>
              <w:top w:val="nil"/>
              <w:left w:val="nil"/>
              <w:bottom w:val="nil"/>
              <w:right w:val="nil"/>
            </w:tcBorders>
            <w:shd w:val="clear" w:color="auto" w:fill="auto"/>
            <w:noWrap/>
            <w:vAlign w:val="bottom"/>
            <w:hideMark/>
          </w:tcPr>
          <w:p w14:paraId="44EB734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(0.638)</w:t>
            </w:r>
          </w:p>
        </w:tc>
        <w:tc>
          <w:tcPr>
            <w:tcW w:w="868" w:type="dxa"/>
            <w:tcBorders>
              <w:top w:val="nil"/>
              <w:left w:val="nil"/>
              <w:bottom w:val="nil"/>
              <w:right w:val="nil"/>
            </w:tcBorders>
            <w:shd w:val="clear" w:color="auto" w:fill="auto"/>
            <w:noWrap/>
            <w:vAlign w:val="bottom"/>
            <w:hideMark/>
          </w:tcPr>
          <w:p w14:paraId="17B1C75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(0.414)</w:t>
            </w:r>
          </w:p>
        </w:tc>
        <w:tc>
          <w:tcPr>
            <w:tcW w:w="868" w:type="dxa"/>
            <w:tcBorders>
              <w:top w:val="nil"/>
              <w:left w:val="nil"/>
              <w:bottom w:val="nil"/>
              <w:right w:val="nil"/>
            </w:tcBorders>
            <w:shd w:val="clear" w:color="auto" w:fill="auto"/>
            <w:noWrap/>
            <w:vAlign w:val="bottom"/>
            <w:hideMark/>
          </w:tcPr>
          <w:p w14:paraId="1A39A4C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(0.621)</w:t>
            </w:r>
          </w:p>
        </w:tc>
      </w:tr>
      <w:tr w:rsidR="00E06124" w:rsidRPr="00512434" w14:paraId="17841E4E"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31614FB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fa*2012</w:t>
            </w:r>
          </w:p>
        </w:tc>
        <w:tc>
          <w:tcPr>
            <w:tcW w:w="1303" w:type="dxa"/>
            <w:tcBorders>
              <w:top w:val="nil"/>
              <w:left w:val="nil"/>
              <w:bottom w:val="nil"/>
              <w:right w:val="nil"/>
            </w:tcBorders>
            <w:shd w:val="clear" w:color="auto" w:fill="auto"/>
            <w:noWrap/>
            <w:vAlign w:val="bottom"/>
            <w:hideMark/>
          </w:tcPr>
          <w:p w14:paraId="7D3CE3F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0.079</w:t>
            </w:r>
          </w:p>
        </w:tc>
        <w:tc>
          <w:tcPr>
            <w:tcW w:w="1130" w:type="dxa"/>
            <w:tcBorders>
              <w:top w:val="nil"/>
              <w:left w:val="nil"/>
              <w:bottom w:val="nil"/>
              <w:right w:val="nil"/>
            </w:tcBorders>
            <w:shd w:val="clear" w:color="auto" w:fill="auto"/>
            <w:noWrap/>
            <w:vAlign w:val="bottom"/>
            <w:hideMark/>
          </w:tcPr>
          <w:p w14:paraId="24037B6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-0.208</w:t>
            </w:r>
          </w:p>
        </w:tc>
        <w:tc>
          <w:tcPr>
            <w:tcW w:w="1210" w:type="dxa"/>
            <w:tcBorders>
              <w:top w:val="nil"/>
              <w:left w:val="nil"/>
              <w:bottom w:val="nil"/>
              <w:right w:val="nil"/>
            </w:tcBorders>
            <w:shd w:val="clear" w:color="auto" w:fill="auto"/>
            <w:noWrap/>
            <w:vAlign w:val="bottom"/>
            <w:hideMark/>
          </w:tcPr>
          <w:p w14:paraId="34A259F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0.538***</w:t>
            </w:r>
          </w:p>
        </w:tc>
        <w:tc>
          <w:tcPr>
            <w:tcW w:w="1210" w:type="dxa"/>
            <w:tcBorders>
              <w:top w:val="nil"/>
              <w:left w:val="nil"/>
              <w:bottom w:val="nil"/>
              <w:right w:val="nil"/>
            </w:tcBorders>
            <w:shd w:val="clear" w:color="auto" w:fill="auto"/>
            <w:noWrap/>
            <w:vAlign w:val="bottom"/>
            <w:hideMark/>
          </w:tcPr>
          <w:p w14:paraId="5362250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0.085</w:t>
            </w:r>
          </w:p>
        </w:tc>
        <w:tc>
          <w:tcPr>
            <w:tcW w:w="868" w:type="dxa"/>
            <w:tcBorders>
              <w:top w:val="nil"/>
              <w:left w:val="nil"/>
              <w:bottom w:val="nil"/>
              <w:right w:val="nil"/>
            </w:tcBorders>
            <w:shd w:val="clear" w:color="auto" w:fill="auto"/>
            <w:noWrap/>
            <w:vAlign w:val="bottom"/>
            <w:hideMark/>
          </w:tcPr>
          <w:p w14:paraId="7732941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0.475**</w:t>
            </w:r>
          </w:p>
        </w:tc>
        <w:tc>
          <w:tcPr>
            <w:tcW w:w="868" w:type="dxa"/>
            <w:tcBorders>
              <w:top w:val="nil"/>
              <w:left w:val="nil"/>
              <w:bottom w:val="nil"/>
              <w:right w:val="nil"/>
            </w:tcBorders>
            <w:shd w:val="clear" w:color="auto" w:fill="auto"/>
            <w:noWrap/>
            <w:vAlign w:val="bottom"/>
            <w:hideMark/>
          </w:tcPr>
          <w:p w14:paraId="6A692D4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0.220</w:t>
            </w:r>
          </w:p>
        </w:tc>
        <w:tc>
          <w:tcPr>
            <w:tcW w:w="892" w:type="dxa"/>
            <w:tcBorders>
              <w:top w:val="nil"/>
              <w:left w:val="nil"/>
              <w:bottom w:val="nil"/>
              <w:right w:val="nil"/>
            </w:tcBorders>
            <w:shd w:val="clear" w:color="auto" w:fill="auto"/>
            <w:noWrap/>
            <w:vAlign w:val="bottom"/>
            <w:hideMark/>
          </w:tcPr>
          <w:p w14:paraId="5FFB93C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0.201</w:t>
            </w:r>
          </w:p>
        </w:tc>
        <w:tc>
          <w:tcPr>
            <w:tcW w:w="892" w:type="dxa"/>
            <w:tcBorders>
              <w:top w:val="nil"/>
              <w:left w:val="nil"/>
              <w:bottom w:val="nil"/>
              <w:right w:val="nil"/>
            </w:tcBorders>
            <w:shd w:val="clear" w:color="auto" w:fill="auto"/>
            <w:noWrap/>
            <w:vAlign w:val="bottom"/>
            <w:hideMark/>
          </w:tcPr>
          <w:p w14:paraId="5160101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-0.220</w:t>
            </w:r>
          </w:p>
        </w:tc>
        <w:tc>
          <w:tcPr>
            <w:tcW w:w="868" w:type="dxa"/>
            <w:tcBorders>
              <w:top w:val="nil"/>
              <w:left w:val="nil"/>
              <w:bottom w:val="nil"/>
              <w:right w:val="nil"/>
            </w:tcBorders>
            <w:shd w:val="clear" w:color="auto" w:fill="auto"/>
            <w:noWrap/>
            <w:vAlign w:val="bottom"/>
            <w:hideMark/>
          </w:tcPr>
          <w:p w14:paraId="6D56B01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-0.012</w:t>
            </w:r>
          </w:p>
        </w:tc>
        <w:tc>
          <w:tcPr>
            <w:tcW w:w="868" w:type="dxa"/>
            <w:tcBorders>
              <w:top w:val="nil"/>
              <w:left w:val="nil"/>
              <w:bottom w:val="nil"/>
              <w:right w:val="nil"/>
            </w:tcBorders>
            <w:shd w:val="clear" w:color="auto" w:fill="auto"/>
            <w:noWrap/>
            <w:vAlign w:val="bottom"/>
            <w:hideMark/>
          </w:tcPr>
          <w:p w14:paraId="31AEBC8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-0.314</w:t>
            </w:r>
          </w:p>
        </w:tc>
      </w:tr>
      <w:tr w:rsidR="00E06124" w:rsidRPr="00512434" w14:paraId="05EEF9F5"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28B48D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303" w:type="dxa"/>
            <w:tcBorders>
              <w:top w:val="nil"/>
              <w:left w:val="nil"/>
              <w:bottom w:val="nil"/>
              <w:right w:val="nil"/>
            </w:tcBorders>
            <w:shd w:val="clear" w:color="auto" w:fill="auto"/>
            <w:noWrap/>
            <w:vAlign w:val="bottom"/>
            <w:hideMark/>
          </w:tcPr>
          <w:p w14:paraId="747623E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(0.180)</w:t>
            </w:r>
          </w:p>
        </w:tc>
        <w:tc>
          <w:tcPr>
            <w:tcW w:w="1130" w:type="dxa"/>
            <w:tcBorders>
              <w:top w:val="nil"/>
              <w:left w:val="nil"/>
              <w:bottom w:val="nil"/>
              <w:right w:val="nil"/>
            </w:tcBorders>
            <w:shd w:val="clear" w:color="auto" w:fill="auto"/>
            <w:noWrap/>
            <w:vAlign w:val="bottom"/>
            <w:hideMark/>
          </w:tcPr>
          <w:p w14:paraId="734CB09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(0.357)</w:t>
            </w:r>
          </w:p>
        </w:tc>
        <w:tc>
          <w:tcPr>
            <w:tcW w:w="1210" w:type="dxa"/>
            <w:tcBorders>
              <w:top w:val="nil"/>
              <w:left w:val="nil"/>
              <w:bottom w:val="nil"/>
              <w:right w:val="nil"/>
            </w:tcBorders>
            <w:shd w:val="clear" w:color="auto" w:fill="auto"/>
            <w:noWrap/>
            <w:vAlign w:val="bottom"/>
            <w:hideMark/>
          </w:tcPr>
          <w:p w14:paraId="60201A0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(0.195)</w:t>
            </w:r>
          </w:p>
        </w:tc>
        <w:tc>
          <w:tcPr>
            <w:tcW w:w="1210" w:type="dxa"/>
            <w:tcBorders>
              <w:top w:val="nil"/>
              <w:left w:val="nil"/>
              <w:bottom w:val="nil"/>
              <w:right w:val="nil"/>
            </w:tcBorders>
            <w:shd w:val="clear" w:color="auto" w:fill="auto"/>
            <w:noWrap/>
            <w:vAlign w:val="bottom"/>
            <w:hideMark/>
          </w:tcPr>
          <w:p w14:paraId="4A9351C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(0.293)</w:t>
            </w:r>
          </w:p>
        </w:tc>
        <w:tc>
          <w:tcPr>
            <w:tcW w:w="868" w:type="dxa"/>
            <w:tcBorders>
              <w:top w:val="nil"/>
              <w:left w:val="nil"/>
              <w:bottom w:val="nil"/>
              <w:right w:val="nil"/>
            </w:tcBorders>
            <w:shd w:val="clear" w:color="auto" w:fill="auto"/>
            <w:noWrap/>
            <w:vAlign w:val="bottom"/>
            <w:hideMark/>
          </w:tcPr>
          <w:p w14:paraId="10B584A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(0.242)</w:t>
            </w:r>
          </w:p>
        </w:tc>
        <w:tc>
          <w:tcPr>
            <w:tcW w:w="868" w:type="dxa"/>
            <w:tcBorders>
              <w:top w:val="nil"/>
              <w:left w:val="nil"/>
              <w:bottom w:val="nil"/>
              <w:right w:val="nil"/>
            </w:tcBorders>
            <w:shd w:val="clear" w:color="auto" w:fill="auto"/>
            <w:noWrap/>
            <w:vAlign w:val="bottom"/>
            <w:hideMark/>
          </w:tcPr>
          <w:p w14:paraId="1EAEE57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(0.299)</w:t>
            </w:r>
          </w:p>
        </w:tc>
        <w:tc>
          <w:tcPr>
            <w:tcW w:w="892" w:type="dxa"/>
            <w:tcBorders>
              <w:top w:val="nil"/>
              <w:left w:val="nil"/>
              <w:bottom w:val="nil"/>
              <w:right w:val="nil"/>
            </w:tcBorders>
            <w:shd w:val="clear" w:color="auto" w:fill="auto"/>
            <w:noWrap/>
            <w:vAlign w:val="bottom"/>
            <w:hideMark/>
          </w:tcPr>
          <w:p w14:paraId="36A4F3A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(0.201)</w:t>
            </w:r>
          </w:p>
        </w:tc>
        <w:tc>
          <w:tcPr>
            <w:tcW w:w="892" w:type="dxa"/>
            <w:tcBorders>
              <w:top w:val="nil"/>
              <w:left w:val="nil"/>
              <w:bottom w:val="nil"/>
              <w:right w:val="nil"/>
            </w:tcBorders>
            <w:shd w:val="clear" w:color="auto" w:fill="auto"/>
            <w:noWrap/>
            <w:vAlign w:val="bottom"/>
            <w:hideMark/>
          </w:tcPr>
          <w:p w14:paraId="7124DC3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(0.397)</w:t>
            </w:r>
          </w:p>
        </w:tc>
        <w:tc>
          <w:tcPr>
            <w:tcW w:w="868" w:type="dxa"/>
            <w:tcBorders>
              <w:top w:val="nil"/>
              <w:left w:val="nil"/>
              <w:bottom w:val="nil"/>
              <w:right w:val="nil"/>
            </w:tcBorders>
            <w:shd w:val="clear" w:color="auto" w:fill="auto"/>
            <w:noWrap/>
            <w:vAlign w:val="bottom"/>
            <w:hideMark/>
          </w:tcPr>
          <w:p w14:paraId="2E21BFF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(0.212)</w:t>
            </w:r>
          </w:p>
        </w:tc>
        <w:tc>
          <w:tcPr>
            <w:tcW w:w="868" w:type="dxa"/>
            <w:tcBorders>
              <w:top w:val="nil"/>
              <w:left w:val="nil"/>
              <w:bottom w:val="nil"/>
              <w:right w:val="nil"/>
            </w:tcBorders>
            <w:shd w:val="clear" w:color="auto" w:fill="auto"/>
            <w:noWrap/>
            <w:vAlign w:val="bottom"/>
            <w:hideMark/>
          </w:tcPr>
          <w:p w14:paraId="5FCE3C5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(0.382)</w:t>
            </w:r>
          </w:p>
        </w:tc>
      </w:tr>
      <w:tr w:rsidR="00E06124" w:rsidRPr="00512434" w14:paraId="474D0D9C"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3BF7DFA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fa*2013</w:t>
            </w:r>
          </w:p>
        </w:tc>
        <w:tc>
          <w:tcPr>
            <w:tcW w:w="1303" w:type="dxa"/>
            <w:tcBorders>
              <w:top w:val="nil"/>
              <w:left w:val="nil"/>
              <w:bottom w:val="nil"/>
              <w:right w:val="nil"/>
            </w:tcBorders>
            <w:shd w:val="clear" w:color="auto" w:fill="auto"/>
            <w:noWrap/>
            <w:vAlign w:val="bottom"/>
            <w:hideMark/>
          </w:tcPr>
          <w:p w14:paraId="2F4B031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1130" w:type="dxa"/>
            <w:tcBorders>
              <w:top w:val="nil"/>
              <w:left w:val="nil"/>
              <w:bottom w:val="nil"/>
              <w:right w:val="nil"/>
            </w:tcBorders>
            <w:shd w:val="clear" w:color="auto" w:fill="auto"/>
            <w:noWrap/>
            <w:vAlign w:val="bottom"/>
            <w:hideMark/>
          </w:tcPr>
          <w:p w14:paraId="6BC2A73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1210" w:type="dxa"/>
            <w:tcBorders>
              <w:top w:val="nil"/>
              <w:left w:val="nil"/>
              <w:bottom w:val="nil"/>
              <w:right w:val="nil"/>
            </w:tcBorders>
            <w:shd w:val="clear" w:color="auto" w:fill="auto"/>
            <w:noWrap/>
            <w:vAlign w:val="bottom"/>
            <w:hideMark/>
          </w:tcPr>
          <w:p w14:paraId="2596516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1210" w:type="dxa"/>
            <w:tcBorders>
              <w:top w:val="nil"/>
              <w:left w:val="nil"/>
              <w:bottom w:val="nil"/>
              <w:right w:val="nil"/>
            </w:tcBorders>
            <w:shd w:val="clear" w:color="auto" w:fill="auto"/>
            <w:noWrap/>
            <w:vAlign w:val="bottom"/>
            <w:hideMark/>
          </w:tcPr>
          <w:p w14:paraId="12BDEE0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1B60736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5E391F5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892" w:type="dxa"/>
            <w:tcBorders>
              <w:top w:val="nil"/>
              <w:left w:val="nil"/>
              <w:bottom w:val="nil"/>
              <w:right w:val="nil"/>
            </w:tcBorders>
            <w:shd w:val="clear" w:color="auto" w:fill="auto"/>
            <w:noWrap/>
            <w:vAlign w:val="bottom"/>
            <w:hideMark/>
          </w:tcPr>
          <w:p w14:paraId="507471B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892" w:type="dxa"/>
            <w:tcBorders>
              <w:top w:val="nil"/>
              <w:left w:val="nil"/>
              <w:bottom w:val="nil"/>
              <w:right w:val="nil"/>
            </w:tcBorders>
            <w:shd w:val="clear" w:color="auto" w:fill="auto"/>
            <w:noWrap/>
            <w:vAlign w:val="bottom"/>
            <w:hideMark/>
          </w:tcPr>
          <w:p w14:paraId="1E3C931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14E49A8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868" w:type="dxa"/>
            <w:tcBorders>
              <w:top w:val="nil"/>
              <w:left w:val="nil"/>
              <w:bottom w:val="nil"/>
              <w:right w:val="nil"/>
            </w:tcBorders>
            <w:shd w:val="clear" w:color="auto" w:fill="auto"/>
            <w:noWrap/>
            <w:vAlign w:val="bottom"/>
            <w:hideMark/>
          </w:tcPr>
          <w:p w14:paraId="2107E79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r>
      <w:tr w:rsidR="00E06124" w:rsidRPr="00512434" w14:paraId="1A4784AF"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720FED8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303" w:type="dxa"/>
            <w:tcBorders>
              <w:top w:val="nil"/>
              <w:left w:val="nil"/>
              <w:bottom w:val="nil"/>
              <w:right w:val="nil"/>
            </w:tcBorders>
            <w:shd w:val="clear" w:color="auto" w:fill="auto"/>
            <w:noWrap/>
            <w:vAlign w:val="bottom"/>
            <w:hideMark/>
          </w:tcPr>
          <w:p w14:paraId="6817C49B"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1130" w:type="dxa"/>
            <w:tcBorders>
              <w:top w:val="nil"/>
              <w:left w:val="nil"/>
              <w:bottom w:val="nil"/>
              <w:right w:val="nil"/>
            </w:tcBorders>
            <w:shd w:val="clear" w:color="auto" w:fill="auto"/>
            <w:noWrap/>
            <w:vAlign w:val="bottom"/>
            <w:hideMark/>
          </w:tcPr>
          <w:p w14:paraId="72DE5EA0"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1210" w:type="dxa"/>
            <w:tcBorders>
              <w:top w:val="nil"/>
              <w:left w:val="nil"/>
              <w:bottom w:val="nil"/>
              <w:right w:val="nil"/>
            </w:tcBorders>
            <w:shd w:val="clear" w:color="auto" w:fill="auto"/>
            <w:noWrap/>
            <w:vAlign w:val="bottom"/>
            <w:hideMark/>
          </w:tcPr>
          <w:p w14:paraId="57E104AD"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1210" w:type="dxa"/>
            <w:tcBorders>
              <w:top w:val="nil"/>
              <w:left w:val="nil"/>
              <w:bottom w:val="nil"/>
              <w:right w:val="nil"/>
            </w:tcBorders>
            <w:shd w:val="clear" w:color="auto" w:fill="auto"/>
            <w:noWrap/>
            <w:vAlign w:val="bottom"/>
            <w:hideMark/>
          </w:tcPr>
          <w:p w14:paraId="6E7D580E"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868" w:type="dxa"/>
            <w:tcBorders>
              <w:top w:val="nil"/>
              <w:left w:val="nil"/>
              <w:bottom w:val="nil"/>
              <w:right w:val="nil"/>
            </w:tcBorders>
            <w:shd w:val="clear" w:color="auto" w:fill="auto"/>
            <w:noWrap/>
            <w:vAlign w:val="bottom"/>
            <w:hideMark/>
          </w:tcPr>
          <w:p w14:paraId="59A810EA"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868" w:type="dxa"/>
            <w:tcBorders>
              <w:top w:val="nil"/>
              <w:left w:val="nil"/>
              <w:bottom w:val="nil"/>
              <w:right w:val="nil"/>
            </w:tcBorders>
            <w:shd w:val="clear" w:color="auto" w:fill="auto"/>
            <w:noWrap/>
            <w:vAlign w:val="bottom"/>
            <w:hideMark/>
          </w:tcPr>
          <w:p w14:paraId="1F9DB65A"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892" w:type="dxa"/>
            <w:tcBorders>
              <w:top w:val="nil"/>
              <w:left w:val="nil"/>
              <w:bottom w:val="nil"/>
              <w:right w:val="nil"/>
            </w:tcBorders>
            <w:shd w:val="clear" w:color="auto" w:fill="auto"/>
            <w:noWrap/>
            <w:vAlign w:val="bottom"/>
            <w:hideMark/>
          </w:tcPr>
          <w:p w14:paraId="00697045"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892" w:type="dxa"/>
            <w:tcBorders>
              <w:top w:val="nil"/>
              <w:left w:val="nil"/>
              <w:bottom w:val="nil"/>
              <w:right w:val="nil"/>
            </w:tcBorders>
            <w:shd w:val="clear" w:color="auto" w:fill="auto"/>
            <w:noWrap/>
            <w:vAlign w:val="bottom"/>
            <w:hideMark/>
          </w:tcPr>
          <w:p w14:paraId="6804A4D0"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868" w:type="dxa"/>
            <w:tcBorders>
              <w:top w:val="nil"/>
              <w:left w:val="nil"/>
              <w:bottom w:val="nil"/>
              <w:right w:val="nil"/>
            </w:tcBorders>
            <w:shd w:val="clear" w:color="auto" w:fill="auto"/>
            <w:noWrap/>
            <w:vAlign w:val="bottom"/>
            <w:hideMark/>
          </w:tcPr>
          <w:p w14:paraId="15339DAD"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868" w:type="dxa"/>
            <w:tcBorders>
              <w:top w:val="nil"/>
              <w:left w:val="nil"/>
              <w:bottom w:val="nil"/>
              <w:right w:val="nil"/>
            </w:tcBorders>
            <w:shd w:val="clear" w:color="auto" w:fill="auto"/>
            <w:noWrap/>
            <w:vAlign w:val="bottom"/>
            <w:hideMark/>
          </w:tcPr>
          <w:p w14:paraId="7834BD1A" w14:textId="77777777" w:rsidR="00E06124" w:rsidRPr="00512434" w:rsidRDefault="00E06124" w:rsidP="00512434">
            <w:pPr>
              <w:jc w:val="center"/>
              <w:rPr>
                <w:rFonts w:asciiTheme="majorHAnsi" w:eastAsia="Times New Roman" w:hAnsiTheme="majorHAnsi" w:cstheme="majorHAnsi"/>
                <w:sz w:val="16"/>
                <w:szCs w:val="16"/>
                <w:lang w:eastAsia="en-GB"/>
              </w:rPr>
            </w:pPr>
          </w:p>
        </w:tc>
      </w:tr>
      <w:tr w:rsidR="00E06124" w:rsidRPr="00512434" w14:paraId="3BB7D5EA"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4B9F95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fa*2014</w:t>
            </w:r>
          </w:p>
        </w:tc>
        <w:tc>
          <w:tcPr>
            <w:tcW w:w="1303" w:type="dxa"/>
            <w:tcBorders>
              <w:top w:val="nil"/>
              <w:left w:val="nil"/>
              <w:bottom w:val="nil"/>
              <w:right w:val="nil"/>
            </w:tcBorders>
            <w:shd w:val="clear" w:color="auto" w:fill="auto"/>
            <w:noWrap/>
            <w:vAlign w:val="bottom"/>
            <w:hideMark/>
          </w:tcPr>
          <w:p w14:paraId="2D9ED77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0.016</w:t>
            </w:r>
          </w:p>
        </w:tc>
        <w:tc>
          <w:tcPr>
            <w:tcW w:w="1130" w:type="dxa"/>
            <w:tcBorders>
              <w:top w:val="nil"/>
              <w:left w:val="nil"/>
              <w:bottom w:val="nil"/>
              <w:right w:val="nil"/>
            </w:tcBorders>
            <w:shd w:val="clear" w:color="auto" w:fill="auto"/>
            <w:noWrap/>
            <w:vAlign w:val="bottom"/>
            <w:hideMark/>
          </w:tcPr>
          <w:p w14:paraId="41BDDDA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0.001</w:t>
            </w:r>
          </w:p>
        </w:tc>
        <w:tc>
          <w:tcPr>
            <w:tcW w:w="1210" w:type="dxa"/>
            <w:tcBorders>
              <w:top w:val="nil"/>
              <w:left w:val="nil"/>
              <w:bottom w:val="nil"/>
              <w:right w:val="nil"/>
            </w:tcBorders>
            <w:shd w:val="clear" w:color="auto" w:fill="auto"/>
            <w:noWrap/>
            <w:vAlign w:val="bottom"/>
            <w:hideMark/>
          </w:tcPr>
          <w:p w14:paraId="2BED4A8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-0.349***</w:t>
            </w:r>
          </w:p>
        </w:tc>
        <w:tc>
          <w:tcPr>
            <w:tcW w:w="1210" w:type="dxa"/>
            <w:tcBorders>
              <w:top w:val="nil"/>
              <w:left w:val="nil"/>
              <w:bottom w:val="nil"/>
              <w:right w:val="nil"/>
            </w:tcBorders>
            <w:shd w:val="clear" w:color="auto" w:fill="auto"/>
            <w:noWrap/>
            <w:vAlign w:val="bottom"/>
            <w:hideMark/>
          </w:tcPr>
          <w:p w14:paraId="4951D8D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-0.202</w:t>
            </w:r>
          </w:p>
        </w:tc>
        <w:tc>
          <w:tcPr>
            <w:tcW w:w="868" w:type="dxa"/>
            <w:tcBorders>
              <w:top w:val="nil"/>
              <w:left w:val="nil"/>
              <w:bottom w:val="nil"/>
              <w:right w:val="nil"/>
            </w:tcBorders>
            <w:shd w:val="clear" w:color="auto" w:fill="auto"/>
            <w:noWrap/>
            <w:vAlign w:val="bottom"/>
            <w:hideMark/>
          </w:tcPr>
          <w:p w14:paraId="63F987B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-0.122</w:t>
            </w:r>
          </w:p>
        </w:tc>
        <w:tc>
          <w:tcPr>
            <w:tcW w:w="868" w:type="dxa"/>
            <w:tcBorders>
              <w:top w:val="nil"/>
              <w:left w:val="nil"/>
              <w:bottom w:val="nil"/>
              <w:right w:val="nil"/>
            </w:tcBorders>
            <w:shd w:val="clear" w:color="auto" w:fill="auto"/>
            <w:noWrap/>
            <w:vAlign w:val="bottom"/>
            <w:hideMark/>
          </w:tcPr>
          <w:p w14:paraId="76D8C48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-0.190</w:t>
            </w:r>
          </w:p>
        </w:tc>
        <w:tc>
          <w:tcPr>
            <w:tcW w:w="892" w:type="dxa"/>
            <w:tcBorders>
              <w:top w:val="nil"/>
              <w:left w:val="nil"/>
              <w:bottom w:val="nil"/>
              <w:right w:val="nil"/>
            </w:tcBorders>
            <w:shd w:val="clear" w:color="auto" w:fill="auto"/>
            <w:noWrap/>
            <w:vAlign w:val="bottom"/>
            <w:hideMark/>
          </w:tcPr>
          <w:p w14:paraId="74F9818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-0.006</w:t>
            </w:r>
          </w:p>
        </w:tc>
        <w:tc>
          <w:tcPr>
            <w:tcW w:w="892" w:type="dxa"/>
            <w:tcBorders>
              <w:top w:val="nil"/>
              <w:left w:val="nil"/>
              <w:bottom w:val="nil"/>
              <w:right w:val="nil"/>
            </w:tcBorders>
            <w:shd w:val="clear" w:color="auto" w:fill="auto"/>
            <w:noWrap/>
            <w:vAlign w:val="bottom"/>
            <w:hideMark/>
          </w:tcPr>
          <w:p w14:paraId="22EC1C1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-0.040</w:t>
            </w:r>
          </w:p>
        </w:tc>
        <w:tc>
          <w:tcPr>
            <w:tcW w:w="868" w:type="dxa"/>
            <w:tcBorders>
              <w:top w:val="nil"/>
              <w:left w:val="nil"/>
              <w:bottom w:val="nil"/>
              <w:right w:val="nil"/>
            </w:tcBorders>
            <w:shd w:val="clear" w:color="auto" w:fill="auto"/>
            <w:noWrap/>
            <w:vAlign w:val="bottom"/>
            <w:hideMark/>
          </w:tcPr>
          <w:p w14:paraId="56FEBA2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-0.046</w:t>
            </w:r>
          </w:p>
        </w:tc>
        <w:tc>
          <w:tcPr>
            <w:tcW w:w="868" w:type="dxa"/>
            <w:tcBorders>
              <w:top w:val="nil"/>
              <w:left w:val="nil"/>
              <w:bottom w:val="nil"/>
              <w:right w:val="nil"/>
            </w:tcBorders>
            <w:shd w:val="clear" w:color="auto" w:fill="auto"/>
            <w:noWrap/>
            <w:vAlign w:val="bottom"/>
            <w:hideMark/>
          </w:tcPr>
          <w:p w14:paraId="0537760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-0.038</w:t>
            </w:r>
          </w:p>
        </w:tc>
      </w:tr>
      <w:tr w:rsidR="00E06124" w:rsidRPr="00512434" w14:paraId="44C351D2"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1696570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303" w:type="dxa"/>
            <w:tcBorders>
              <w:top w:val="nil"/>
              <w:left w:val="nil"/>
              <w:bottom w:val="nil"/>
              <w:right w:val="nil"/>
            </w:tcBorders>
            <w:shd w:val="clear" w:color="auto" w:fill="auto"/>
            <w:noWrap/>
            <w:vAlign w:val="bottom"/>
            <w:hideMark/>
          </w:tcPr>
          <w:p w14:paraId="2094E23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(0.105)</w:t>
            </w:r>
          </w:p>
        </w:tc>
        <w:tc>
          <w:tcPr>
            <w:tcW w:w="1130" w:type="dxa"/>
            <w:tcBorders>
              <w:top w:val="nil"/>
              <w:left w:val="nil"/>
              <w:bottom w:val="nil"/>
              <w:right w:val="nil"/>
            </w:tcBorders>
            <w:shd w:val="clear" w:color="auto" w:fill="auto"/>
            <w:noWrap/>
            <w:vAlign w:val="bottom"/>
            <w:hideMark/>
          </w:tcPr>
          <w:p w14:paraId="0AB7F0F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(0.158)</w:t>
            </w:r>
          </w:p>
        </w:tc>
        <w:tc>
          <w:tcPr>
            <w:tcW w:w="1210" w:type="dxa"/>
            <w:tcBorders>
              <w:top w:val="nil"/>
              <w:left w:val="nil"/>
              <w:bottom w:val="nil"/>
              <w:right w:val="nil"/>
            </w:tcBorders>
            <w:shd w:val="clear" w:color="auto" w:fill="auto"/>
            <w:noWrap/>
            <w:vAlign w:val="bottom"/>
            <w:hideMark/>
          </w:tcPr>
          <w:p w14:paraId="4DA3ED0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(0.114)</w:t>
            </w:r>
          </w:p>
        </w:tc>
        <w:tc>
          <w:tcPr>
            <w:tcW w:w="1210" w:type="dxa"/>
            <w:tcBorders>
              <w:top w:val="nil"/>
              <w:left w:val="nil"/>
              <w:bottom w:val="nil"/>
              <w:right w:val="nil"/>
            </w:tcBorders>
            <w:shd w:val="clear" w:color="auto" w:fill="auto"/>
            <w:noWrap/>
            <w:vAlign w:val="bottom"/>
            <w:hideMark/>
          </w:tcPr>
          <w:p w14:paraId="24C9E3D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(0.145)</w:t>
            </w:r>
          </w:p>
        </w:tc>
        <w:tc>
          <w:tcPr>
            <w:tcW w:w="868" w:type="dxa"/>
            <w:tcBorders>
              <w:top w:val="nil"/>
              <w:left w:val="nil"/>
              <w:bottom w:val="nil"/>
              <w:right w:val="nil"/>
            </w:tcBorders>
            <w:shd w:val="clear" w:color="auto" w:fill="auto"/>
            <w:noWrap/>
            <w:vAlign w:val="bottom"/>
            <w:hideMark/>
          </w:tcPr>
          <w:p w14:paraId="703679F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(0.141)</w:t>
            </w:r>
          </w:p>
        </w:tc>
        <w:tc>
          <w:tcPr>
            <w:tcW w:w="868" w:type="dxa"/>
            <w:tcBorders>
              <w:top w:val="nil"/>
              <w:left w:val="nil"/>
              <w:bottom w:val="nil"/>
              <w:right w:val="nil"/>
            </w:tcBorders>
            <w:shd w:val="clear" w:color="auto" w:fill="auto"/>
            <w:noWrap/>
            <w:vAlign w:val="bottom"/>
            <w:hideMark/>
          </w:tcPr>
          <w:p w14:paraId="74F1977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(0.166)</w:t>
            </w:r>
          </w:p>
        </w:tc>
        <w:tc>
          <w:tcPr>
            <w:tcW w:w="892" w:type="dxa"/>
            <w:tcBorders>
              <w:top w:val="nil"/>
              <w:left w:val="nil"/>
              <w:bottom w:val="nil"/>
              <w:right w:val="nil"/>
            </w:tcBorders>
            <w:shd w:val="clear" w:color="auto" w:fill="auto"/>
            <w:noWrap/>
            <w:vAlign w:val="bottom"/>
            <w:hideMark/>
          </w:tcPr>
          <w:p w14:paraId="734C02E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(0.117)</w:t>
            </w:r>
          </w:p>
        </w:tc>
        <w:tc>
          <w:tcPr>
            <w:tcW w:w="892" w:type="dxa"/>
            <w:tcBorders>
              <w:top w:val="nil"/>
              <w:left w:val="nil"/>
              <w:bottom w:val="nil"/>
              <w:right w:val="nil"/>
            </w:tcBorders>
            <w:shd w:val="clear" w:color="auto" w:fill="auto"/>
            <w:noWrap/>
            <w:vAlign w:val="bottom"/>
            <w:hideMark/>
          </w:tcPr>
          <w:p w14:paraId="46180F9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(0.162)</w:t>
            </w:r>
          </w:p>
        </w:tc>
        <w:tc>
          <w:tcPr>
            <w:tcW w:w="868" w:type="dxa"/>
            <w:tcBorders>
              <w:top w:val="nil"/>
              <w:left w:val="nil"/>
              <w:bottom w:val="nil"/>
              <w:right w:val="nil"/>
            </w:tcBorders>
            <w:shd w:val="clear" w:color="auto" w:fill="auto"/>
            <w:noWrap/>
            <w:vAlign w:val="bottom"/>
            <w:hideMark/>
          </w:tcPr>
          <w:p w14:paraId="241AEC3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(0.123)</w:t>
            </w:r>
          </w:p>
        </w:tc>
        <w:tc>
          <w:tcPr>
            <w:tcW w:w="868" w:type="dxa"/>
            <w:tcBorders>
              <w:top w:val="nil"/>
              <w:left w:val="nil"/>
              <w:bottom w:val="nil"/>
              <w:right w:val="nil"/>
            </w:tcBorders>
            <w:shd w:val="clear" w:color="auto" w:fill="auto"/>
            <w:noWrap/>
            <w:vAlign w:val="bottom"/>
            <w:hideMark/>
          </w:tcPr>
          <w:p w14:paraId="37E419E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(0.162)</w:t>
            </w:r>
          </w:p>
        </w:tc>
      </w:tr>
      <w:tr w:rsidR="00E06124" w:rsidRPr="00512434" w14:paraId="6792F616"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1426AC0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fa*2015</w:t>
            </w:r>
          </w:p>
        </w:tc>
        <w:tc>
          <w:tcPr>
            <w:tcW w:w="1303" w:type="dxa"/>
            <w:tcBorders>
              <w:top w:val="nil"/>
              <w:left w:val="nil"/>
              <w:bottom w:val="nil"/>
              <w:right w:val="nil"/>
            </w:tcBorders>
            <w:shd w:val="clear" w:color="auto" w:fill="auto"/>
            <w:noWrap/>
            <w:vAlign w:val="bottom"/>
            <w:hideMark/>
          </w:tcPr>
          <w:p w14:paraId="2AA227A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-0.002</w:t>
            </w:r>
          </w:p>
        </w:tc>
        <w:tc>
          <w:tcPr>
            <w:tcW w:w="1130" w:type="dxa"/>
            <w:tcBorders>
              <w:top w:val="nil"/>
              <w:left w:val="nil"/>
              <w:bottom w:val="nil"/>
              <w:right w:val="nil"/>
            </w:tcBorders>
            <w:shd w:val="clear" w:color="auto" w:fill="auto"/>
            <w:noWrap/>
            <w:vAlign w:val="bottom"/>
            <w:hideMark/>
          </w:tcPr>
          <w:p w14:paraId="29D780A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-0.006</w:t>
            </w:r>
          </w:p>
        </w:tc>
        <w:tc>
          <w:tcPr>
            <w:tcW w:w="1210" w:type="dxa"/>
            <w:tcBorders>
              <w:top w:val="nil"/>
              <w:left w:val="nil"/>
              <w:bottom w:val="nil"/>
              <w:right w:val="nil"/>
            </w:tcBorders>
            <w:shd w:val="clear" w:color="auto" w:fill="auto"/>
            <w:noWrap/>
            <w:vAlign w:val="bottom"/>
            <w:hideMark/>
          </w:tcPr>
          <w:p w14:paraId="4B6FDB8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-0.544***</w:t>
            </w:r>
          </w:p>
        </w:tc>
        <w:tc>
          <w:tcPr>
            <w:tcW w:w="1210" w:type="dxa"/>
            <w:tcBorders>
              <w:top w:val="nil"/>
              <w:left w:val="nil"/>
              <w:bottom w:val="nil"/>
              <w:right w:val="nil"/>
            </w:tcBorders>
            <w:shd w:val="clear" w:color="auto" w:fill="auto"/>
            <w:noWrap/>
            <w:vAlign w:val="bottom"/>
            <w:hideMark/>
          </w:tcPr>
          <w:p w14:paraId="1D46188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-0.392**</w:t>
            </w:r>
          </w:p>
        </w:tc>
        <w:tc>
          <w:tcPr>
            <w:tcW w:w="868" w:type="dxa"/>
            <w:tcBorders>
              <w:top w:val="nil"/>
              <w:left w:val="nil"/>
              <w:bottom w:val="nil"/>
              <w:right w:val="nil"/>
            </w:tcBorders>
            <w:shd w:val="clear" w:color="auto" w:fill="auto"/>
            <w:noWrap/>
            <w:vAlign w:val="bottom"/>
            <w:hideMark/>
          </w:tcPr>
          <w:p w14:paraId="25287D6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-0.069</w:t>
            </w:r>
          </w:p>
        </w:tc>
        <w:tc>
          <w:tcPr>
            <w:tcW w:w="868" w:type="dxa"/>
            <w:tcBorders>
              <w:top w:val="nil"/>
              <w:left w:val="nil"/>
              <w:bottom w:val="nil"/>
              <w:right w:val="nil"/>
            </w:tcBorders>
            <w:shd w:val="clear" w:color="auto" w:fill="auto"/>
            <w:noWrap/>
            <w:vAlign w:val="bottom"/>
            <w:hideMark/>
          </w:tcPr>
          <w:p w14:paraId="1D601B1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-0.178</w:t>
            </w:r>
          </w:p>
        </w:tc>
        <w:tc>
          <w:tcPr>
            <w:tcW w:w="892" w:type="dxa"/>
            <w:tcBorders>
              <w:top w:val="nil"/>
              <w:left w:val="nil"/>
              <w:bottom w:val="nil"/>
              <w:right w:val="nil"/>
            </w:tcBorders>
            <w:shd w:val="clear" w:color="auto" w:fill="auto"/>
            <w:noWrap/>
            <w:vAlign w:val="bottom"/>
            <w:hideMark/>
          </w:tcPr>
          <w:p w14:paraId="0AFBCAB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0.009</w:t>
            </w:r>
          </w:p>
        </w:tc>
        <w:tc>
          <w:tcPr>
            <w:tcW w:w="892" w:type="dxa"/>
            <w:tcBorders>
              <w:top w:val="nil"/>
              <w:left w:val="nil"/>
              <w:bottom w:val="nil"/>
              <w:right w:val="nil"/>
            </w:tcBorders>
            <w:shd w:val="clear" w:color="auto" w:fill="auto"/>
            <w:noWrap/>
            <w:vAlign w:val="bottom"/>
            <w:hideMark/>
          </w:tcPr>
          <w:p w14:paraId="789CE9B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0.038</w:t>
            </w:r>
          </w:p>
        </w:tc>
        <w:tc>
          <w:tcPr>
            <w:tcW w:w="868" w:type="dxa"/>
            <w:tcBorders>
              <w:top w:val="nil"/>
              <w:left w:val="nil"/>
              <w:bottom w:val="nil"/>
              <w:right w:val="nil"/>
            </w:tcBorders>
            <w:shd w:val="clear" w:color="auto" w:fill="auto"/>
            <w:noWrap/>
            <w:vAlign w:val="bottom"/>
            <w:hideMark/>
          </w:tcPr>
          <w:p w14:paraId="36BF928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-0.086</w:t>
            </w:r>
          </w:p>
        </w:tc>
        <w:tc>
          <w:tcPr>
            <w:tcW w:w="868" w:type="dxa"/>
            <w:tcBorders>
              <w:top w:val="nil"/>
              <w:left w:val="nil"/>
              <w:bottom w:val="nil"/>
              <w:right w:val="nil"/>
            </w:tcBorders>
            <w:shd w:val="clear" w:color="auto" w:fill="auto"/>
            <w:noWrap/>
            <w:vAlign w:val="bottom"/>
            <w:hideMark/>
          </w:tcPr>
          <w:p w14:paraId="6E6659E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-0.065</w:t>
            </w:r>
          </w:p>
        </w:tc>
      </w:tr>
      <w:tr w:rsidR="00E06124" w:rsidRPr="00512434" w14:paraId="3CA39ED4"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0BF792D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303" w:type="dxa"/>
            <w:tcBorders>
              <w:top w:val="nil"/>
              <w:left w:val="nil"/>
              <w:bottom w:val="nil"/>
              <w:right w:val="nil"/>
            </w:tcBorders>
            <w:shd w:val="clear" w:color="auto" w:fill="auto"/>
            <w:noWrap/>
            <w:vAlign w:val="bottom"/>
            <w:hideMark/>
          </w:tcPr>
          <w:p w14:paraId="33C83A3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(0.106)</w:t>
            </w:r>
          </w:p>
        </w:tc>
        <w:tc>
          <w:tcPr>
            <w:tcW w:w="1130" w:type="dxa"/>
            <w:tcBorders>
              <w:top w:val="nil"/>
              <w:left w:val="nil"/>
              <w:bottom w:val="nil"/>
              <w:right w:val="nil"/>
            </w:tcBorders>
            <w:shd w:val="clear" w:color="auto" w:fill="auto"/>
            <w:noWrap/>
            <w:vAlign w:val="bottom"/>
            <w:hideMark/>
          </w:tcPr>
          <w:p w14:paraId="236D0A3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(0.162)</w:t>
            </w:r>
          </w:p>
        </w:tc>
        <w:tc>
          <w:tcPr>
            <w:tcW w:w="1210" w:type="dxa"/>
            <w:tcBorders>
              <w:top w:val="nil"/>
              <w:left w:val="nil"/>
              <w:bottom w:val="nil"/>
              <w:right w:val="nil"/>
            </w:tcBorders>
            <w:shd w:val="clear" w:color="auto" w:fill="auto"/>
            <w:noWrap/>
            <w:vAlign w:val="bottom"/>
            <w:hideMark/>
          </w:tcPr>
          <w:p w14:paraId="292EDF5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(0.115)</w:t>
            </w:r>
          </w:p>
        </w:tc>
        <w:tc>
          <w:tcPr>
            <w:tcW w:w="1210" w:type="dxa"/>
            <w:tcBorders>
              <w:top w:val="nil"/>
              <w:left w:val="nil"/>
              <w:bottom w:val="nil"/>
              <w:right w:val="nil"/>
            </w:tcBorders>
            <w:shd w:val="clear" w:color="auto" w:fill="auto"/>
            <w:noWrap/>
            <w:vAlign w:val="bottom"/>
            <w:hideMark/>
          </w:tcPr>
          <w:p w14:paraId="0639E46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(0.157)</w:t>
            </w:r>
          </w:p>
        </w:tc>
        <w:tc>
          <w:tcPr>
            <w:tcW w:w="868" w:type="dxa"/>
            <w:tcBorders>
              <w:top w:val="nil"/>
              <w:left w:val="nil"/>
              <w:bottom w:val="nil"/>
              <w:right w:val="nil"/>
            </w:tcBorders>
            <w:shd w:val="clear" w:color="auto" w:fill="auto"/>
            <w:noWrap/>
            <w:vAlign w:val="bottom"/>
            <w:hideMark/>
          </w:tcPr>
          <w:p w14:paraId="75FBB27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(0.142)</w:t>
            </w:r>
          </w:p>
        </w:tc>
        <w:tc>
          <w:tcPr>
            <w:tcW w:w="868" w:type="dxa"/>
            <w:tcBorders>
              <w:top w:val="nil"/>
              <w:left w:val="nil"/>
              <w:bottom w:val="nil"/>
              <w:right w:val="nil"/>
            </w:tcBorders>
            <w:shd w:val="clear" w:color="auto" w:fill="auto"/>
            <w:noWrap/>
            <w:vAlign w:val="bottom"/>
            <w:hideMark/>
          </w:tcPr>
          <w:p w14:paraId="53FB16F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(0.177)</w:t>
            </w:r>
          </w:p>
        </w:tc>
        <w:tc>
          <w:tcPr>
            <w:tcW w:w="892" w:type="dxa"/>
            <w:tcBorders>
              <w:top w:val="nil"/>
              <w:left w:val="nil"/>
              <w:bottom w:val="nil"/>
              <w:right w:val="nil"/>
            </w:tcBorders>
            <w:shd w:val="clear" w:color="auto" w:fill="auto"/>
            <w:noWrap/>
            <w:vAlign w:val="bottom"/>
            <w:hideMark/>
          </w:tcPr>
          <w:p w14:paraId="62ABD19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(0.118)</w:t>
            </w:r>
          </w:p>
        </w:tc>
        <w:tc>
          <w:tcPr>
            <w:tcW w:w="892" w:type="dxa"/>
            <w:tcBorders>
              <w:top w:val="nil"/>
              <w:left w:val="nil"/>
              <w:bottom w:val="nil"/>
              <w:right w:val="nil"/>
            </w:tcBorders>
            <w:shd w:val="clear" w:color="auto" w:fill="auto"/>
            <w:noWrap/>
            <w:vAlign w:val="bottom"/>
            <w:hideMark/>
          </w:tcPr>
          <w:p w14:paraId="7493CCD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(0.167)</w:t>
            </w:r>
          </w:p>
        </w:tc>
        <w:tc>
          <w:tcPr>
            <w:tcW w:w="868" w:type="dxa"/>
            <w:tcBorders>
              <w:top w:val="nil"/>
              <w:left w:val="nil"/>
              <w:bottom w:val="nil"/>
              <w:right w:val="nil"/>
            </w:tcBorders>
            <w:shd w:val="clear" w:color="auto" w:fill="auto"/>
            <w:noWrap/>
            <w:vAlign w:val="bottom"/>
            <w:hideMark/>
          </w:tcPr>
          <w:p w14:paraId="652554A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(0.124)</w:t>
            </w:r>
          </w:p>
        </w:tc>
        <w:tc>
          <w:tcPr>
            <w:tcW w:w="868" w:type="dxa"/>
            <w:tcBorders>
              <w:top w:val="nil"/>
              <w:left w:val="nil"/>
              <w:bottom w:val="nil"/>
              <w:right w:val="nil"/>
            </w:tcBorders>
            <w:shd w:val="clear" w:color="auto" w:fill="auto"/>
            <w:noWrap/>
            <w:vAlign w:val="bottom"/>
            <w:hideMark/>
          </w:tcPr>
          <w:p w14:paraId="642D65B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(0.167)</w:t>
            </w:r>
          </w:p>
        </w:tc>
      </w:tr>
      <w:tr w:rsidR="00E06124" w:rsidRPr="00512434" w14:paraId="7794783B"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6C110F3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fa*2016</w:t>
            </w:r>
          </w:p>
        </w:tc>
        <w:tc>
          <w:tcPr>
            <w:tcW w:w="1303" w:type="dxa"/>
            <w:tcBorders>
              <w:top w:val="nil"/>
              <w:left w:val="nil"/>
              <w:bottom w:val="nil"/>
              <w:right w:val="nil"/>
            </w:tcBorders>
            <w:shd w:val="clear" w:color="auto" w:fill="auto"/>
            <w:noWrap/>
            <w:vAlign w:val="bottom"/>
            <w:hideMark/>
          </w:tcPr>
          <w:p w14:paraId="6580C56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-0.017</w:t>
            </w:r>
          </w:p>
        </w:tc>
        <w:tc>
          <w:tcPr>
            <w:tcW w:w="1130" w:type="dxa"/>
            <w:tcBorders>
              <w:top w:val="nil"/>
              <w:left w:val="nil"/>
              <w:bottom w:val="nil"/>
              <w:right w:val="nil"/>
            </w:tcBorders>
            <w:shd w:val="clear" w:color="auto" w:fill="auto"/>
            <w:noWrap/>
            <w:vAlign w:val="bottom"/>
            <w:hideMark/>
          </w:tcPr>
          <w:p w14:paraId="182120B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0.030</w:t>
            </w:r>
          </w:p>
        </w:tc>
        <w:tc>
          <w:tcPr>
            <w:tcW w:w="1210" w:type="dxa"/>
            <w:tcBorders>
              <w:top w:val="nil"/>
              <w:left w:val="nil"/>
              <w:bottom w:val="nil"/>
              <w:right w:val="nil"/>
            </w:tcBorders>
            <w:shd w:val="clear" w:color="auto" w:fill="auto"/>
            <w:noWrap/>
            <w:vAlign w:val="bottom"/>
            <w:hideMark/>
          </w:tcPr>
          <w:p w14:paraId="49F1A7D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-0.630***</w:t>
            </w:r>
          </w:p>
        </w:tc>
        <w:tc>
          <w:tcPr>
            <w:tcW w:w="1210" w:type="dxa"/>
            <w:tcBorders>
              <w:top w:val="nil"/>
              <w:left w:val="nil"/>
              <w:bottom w:val="nil"/>
              <w:right w:val="nil"/>
            </w:tcBorders>
            <w:shd w:val="clear" w:color="auto" w:fill="auto"/>
            <w:noWrap/>
            <w:vAlign w:val="bottom"/>
            <w:hideMark/>
          </w:tcPr>
          <w:p w14:paraId="56C17B6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-0.430***</w:t>
            </w:r>
          </w:p>
        </w:tc>
        <w:tc>
          <w:tcPr>
            <w:tcW w:w="868" w:type="dxa"/>
            <w:tcBorders>
              <w:top w:val="nil"/>
              <w:left w:val="nil"/>
              <w:bottom w:val="nil"/>
              <w:right w:val="nil"/>
            </w:tcBorders>
            <w:shd w:val="clear" w:color="auto" w:fill="auto"/>
            <w:noWrap/>
            <w:vAlign w:val="bottom"/>
            <w:hideMark/>
          </w:tcPr>
          <w:p w14:paraId="57A858D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0.008</w:t>
            </w:r>
          </w:p>
        </w:tc>
        <w:tc>
          <w:tcPr>
            <w:tcW w:w="868" w:type="dxa"/>
            <w:tcBorders>
              <w:top w:val="nil"/>
              <w:left w:val="nil"/>
              <w:bottom w:val="nil"/>
              <w:right w:val="nil"/>
            </w:tcBorders>
            <w:shd w:val="clear" w:color="auto" w:fill="auto"/>
            <w:noWrap/>
            <w:vAlign w:val="bottom"/>
            <w:hideMark/>
          </w:tcPr>
          <w:p w14:paraId="706506F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-0.068</w:t>
            </w:r>
          </w:p>
        </w:tc>
        <w:tc>
          <w:tcPr>
            <w:tcW w:w="892" w:type="dxa"/>
            <w:tcBorders>
              <w:top w:val="nil"/>
              <w:left w:val="nil"/>
              <w:bottom w:val="nil"/>
              <w:right w:val="nil"/>
            </w:tcBorders>
            <w:shd w:val="clear" w:color="auto" w:fill="auto"/>
            <w:noWrap/>
            <w:vAlign w:val="bottom"/>
            <w:hideMark/>
          </w:tcPr>
          <w:p w14:paraId="6EC85FC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0.006</w:t>
            </w:r>
          </w:p>
        </w:tc>
        <w:tc>
          <w:tcPr>
            <w:tcW w:w="892" w:type="dxa"/>
            <w:tcBorders>
              <w:top w:val="nil"/>
              <w:left w:val="nil"/>
              <w:bottom w:val="nil"/>
              <w:right w:val="nil"/>
            </w:tcBorders>
            <w:shd w:val="clear" w:color="auto" w:fill="auto"/>
            <w:noWrap/>
            <w:vAlign w:val="bottom"/>
            <w:hideMark/>
          </w:tcPr>
          <w:p w14:paraId="180E7A6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0.039</w:t>
            </w:r>
          </w:p>
        </w:tc>
        <w:tc>
          <w:tcPr>
            <w:tcW w:w="868" w:type="dxa"/>
            <w:tcBorders>
              <w:top w:val="nil"/>
              <w:left w:val="nil"/>
              <w:bottom w:val="nil"/>
              <w:right w:val="nil"/>
            </w:tcBorders>
            <w:shd w:val="clear" w:color="auto" w:fill="auto"/>
            <w:noWrap/>
            <w:vAlign w:val="bottom"/>
            <w:hideMark/>
          </w:tcPr>
          <w:p w14:paraId="7E7AB50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-0.104</w:t>
            </w:r>
          </w:p>
        </w:tc>
        <w:tc>
          <w:tcPr>
            <w:tcW w:w="868" w:type="dxa"/>
            <w:tcBorders>
              <w:top w:val="nil"/>
              <w:left w:val="nil"/>
              <w:bottom w:val="nil"/>
              <w:right w:val="nil"/>
            </w:tcBorders>
            <w:shd w:val="clear" w:color="auto" w:fill="auto"/>
            <w:noWrap/>
            <w:vAlign w:val="bottom"/>
            <w:hideMark/>
          </w:tcPr>
          <w:p w14:paraId="447FD82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-0.116</w:t>
            </w:r>
          </w:p>
        </w:tc>
      </w:tr>
      <w:tr w:rsidR="00E06124" w:rsidRPr="00512434" w14:paraId="4A51F9D8"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15D5596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303" w:type="dxa"/>
            <w:tcBorders>
              <w:top w:val="nil"/>
              <w:left w:val="nil"/>
              <w:bottom w:val="nil"/>
              <w:right w:val="nil"/>
            </w:tcBorders>
            <w:shd w:val="clear" w:color="auto" w:fill="auto"/>
            <w:noWrap/>
            <w:vAlign w:val="bottom"/>
            <w:hideMark/>
          </w:tcPr>
          <w:p w14:paraId="34D2D87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(0.109)</w:t>
            </w:r>
          </w:p>
        </w:tc>
        <w:tc>
          <w:tcPr>
            <w:tcW w:w="1130" w:type="dxa"/>
            <w:tcBorders>
              <w:top w:val="nil"/>
              <w:left w:val="nil"/>
              <w:bottom w:val="nil"/>
              <w:right w:val="nil"/>
            </w:tcBorders>
            <w:shd w:val="clear" w:color="auto" w:fill="auto"/>
            <w:noWrap/>
            <w:vAlign w:val="bottom"/>
            <w:hideMark/>
          </w:tcPr>
          <w:p w14:paraId="17C6711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(0.167)</w:t>
            </w:r>
          </w:p>
        </w:tc>
        <w:tc>
          <w:tcPr>
            <w:tcW w:w="1210" w:type="dxa"/>
            <w:tcBorders>
              <w:top w:val="nil"/>
              <w:left w:val="nil"/>
              <w:bottom w:val="nil"/>
              <w:right w:val="nil"/>
            </w:tcBorders>
            <w:shd w:val="clear" w:color="auto" w:fill="auto"/>
            <w:noWrap/>
            <w:vAlign w:val="bottom"/>
            <w:hideMark/>
          </w:tcPr>
          <w:p w14:paraId="32EC895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(0.118)</w:t>
            </w:r>
          </w:p>
        </w:tc>
        <w:tc>
          <w:tcPr>
            <w:tcW w:w="1210" w:type="dxa"/>
            <w:tcBorders>
              <w:top w:val="nil"/>
              <w:left w:val="nil"/>
              <w:bottom w:val="nil"/>
              <w:right w:val="nil"/>
            </w:tcBorders>
            <w:shd w:val="clear" w:color="auto" w:fill="auto"/>
            <w:noWrap/>
            <w:vAlign w:val="bottom"/>
            <w:hideMark/>
          </w:tcPr>
          <w:p w14:paraId="375DCB9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(0.159)</w:t>
            </w:r>
          </w:p>
        </w:tc>
        <w:tc>
          <w:tcPr>
            <w:tcW w:w="868" w:type="dxa"/>
            <w:tcBorders>
              <w:top w:val="nil"/>
              <w:left w:val="nil"/>
              <w:bottom w:val="nil"/>
              <w:right w:val="nil"/>
            </w:tcBorders>
            <w:shd w:val="clear" w:color="auto" w:fill="auto"/>
            <w:noWrap/>
            <w:vAlign w:val="bottom"/>
            <w:hideMark/>
          </w:tcPr>
          <w:p w14:paraId="2458126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(0.146)</w:t>
            </w:r>
          </w:p>
        </w:tc>
        <w:tc>
          <w:tcPr>
            <w:tcW w:w="868" w:type="dxa"/>
            <w:tcBorders>
              <w:top w:val="nil"/>
              <w:left w:val="nil"/>
              <w:bottom w:val="nil"/>
              <w:right w:val="nil"/>
            </w:tcBorders>
            <w:shd w:val="clear" w:color="auto" w:fill="auto"/>
            <w:noWrap/>
            <w:vAlign w:val="bottom"/>
            <w:hideMark/>
          </w:tcPr>
          <w:p w14:paraId="61C7F71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(0.186)</w:t>
            </w:r>
          </w:p>
        </w:tc>
        <w:tc>
          <w:tcPr>
            <w:tcW w:w="892" w:type="dxa"/>
            <w:tcBorders>
              <w:top w:val="nil"/>
              <w:left w:val="nil"/>
              <w:bottom w:val="nil"/>
              <w:right w:val="nil"/>
            </w:tcBorders>
            <w:shd w:val="clear" w:color="auto" w:fill="auto"/>
            <w:noWrap/>
            <w:vAlign w:val="bottom"/>
            <w:hideMark/>
          </w:tcPr>
          <w:p w14:paraId="4F5F84E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(0.121)</w:t>
            </w:r>
          </w:p>
        </w:tc>
        <w:tc>
          <w:tcPr>
            <w:tcW w:w="892" w:type="dxa"/>
            <w:tcBorders>
              <w:top w:val="nil"/>
              <w:left w:val="nil"/>
              <w:bottom w:val="nil"/>
              <w:right w:val="nil"/>
            </w:tcBorders>
            <w:shd w:val="clear" w:color="auto" w:fill="auto"/>
            <w:noWrap/>
            <w:vAlign w:val="bottom"/>
            <w:hideMark/>
          </w:tcPr>
          <w:p w14:paraId="1E7B41D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(0.174)</w:t>
            </w:r>
          </w:p>
        </w:tc>
        <w:tc>
          <w:tcPr>
            <w:tcW w:w="868" w:type="dxa"/>
            <w:tcBorders>
              <w:top w:val="nil"/>
              <w:left w:val="nil"/>
              <w:bottom w:val="nil"/>
              <w:right w:val="nil"/>
            </w:tcBorders>
            <w:shd w:val="clear" w:color="auto" w:fill="auto"/>
            <w:noWrap/>
            <w:vAlign w:val="bottom"/>
            <w:hideMark/>
          </w:tcPr>
          <w:p w14:paraId="799931A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(0.128)</w:t>
            </w:r>
          </w:p>
        </w:tc>
        <w:tc>
          <w:tcPr>
            <w:tcW w:w="868" w:type="dxa"/>
            <w:tcBorders>
              <w:top w:val="nil"/>
              <w:left w:val="nil"/>
              <w:bottom w:val="nil"/>
              <w:right w:val="nil"/>
            </w:tcBorders>
            <w:shd w:val="clear" w:color="auto" w:fill="auto"/>
            <w:noWrap/>
            <w:vAlign w:val="bottom"/>
            <w:hideMark/>
          </w:tcPr>
          <w:p w14:paraId="051323D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(0.176)</w:t>
            </w:r>
          </w:p>
        </w:tc>
      </w:tr>
      <w:tr w:rsidR="00E06124" w:rsidRPr="00512434" w14:paraId="22C9084E"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45EAA30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fa*2017</w:t>
            </w:r>
          </w:p>
        </w:tc>
        <w:tc>
          <w:tcPr>
            <w:tcW w:w="1303" w:type="dxa"/>
            <w:tcBorders>
              <w:top w:val="nil"/>
              <w:left w:val="nil"/>
              <w:bottom w:val="nil"/>
              <w:right w:val="nil"/>
            </w:tcBorders>
            <w:shd w:val="clear" w:color="auto" w:fill="auto"/>
            <w:noWrap/>
            <w:vAlign w:val="bottom"/>
            <w:hideMark/>
          </w:tcPr>
          <w:p w14:paraId="557DB31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0.024</w:t>
            </w:r>
          </w:p>
        </w:tc>
        <w:tc>
          <w:tcPr>
            <w:tcW w:w="1130" w:type="dxa"/>
            <w:tcBorders>
              <w:top w:val="nil"/>
              <w:left w:val="nil"/>
              <w:bottom w:val="nil"/>
              <w:right w:val="nil"/>
            </w:tcBorders>
            <w:shd w:val="clear" w:color="auto" w:fill="auto"/>
            <w:noWrap/>
            <w:vAlign w:val="bottom"/>
            <w:hideMark/>
          </w:tcPr>
          <w:p w14:paraId="524C47E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0.152</w:t>
            </w:r>
          </w:p>
        </w:tc>
        <w:tc>
          <w:tcPr>
            <w:tcW w:w="1210" w:type="dxa"/>
            <w:tcBorders>
              <w:top w:val="nil"/>
              <w:left w:val="nil"/>
              <w:bottom w:val="nil"/>
              <w:right w:val="nil"/>
            </w:tcBorders>
            <w:shd w:val="clear" w:color="auto" w:fill="auto"/>
            <w:noWrap/>
            <w:vAlign w:val="bottom"/>
            <w:hideMark/>
          </w:tcPr>
          <w:p w14:paraId="536E6A5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-0.756***</w:t>
            </w:r>
          </w:p>
        </w:tc>
        <w:tc>
          <w:tcPr>
            <w:tcW w:w="1210" w:type="dxa"/>
            <w:tcBorders>
              <w:top w:val="nil"/>
              <w:left w:val="nil"/>
              <w:bottom w:val="nil"/>
              <w:right w:val="nil"/>
            </w:tcBorders>
            <w:shd w:val="clear" w:color="auto" w:fill="auto"/>
            <w:noWrap/>
            <w:vAlign w:val="bottom"/>
            <w:hideMark/>
          </w:tcPr>
          <w:p w14:paraId="4DF353A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-0.436***</w:t>
            </w:r>
          </w:p>
        </w:tc>
        <w:tc>
          <w:tcPr>
            <w:tcW w:w="868" w:type="dxa"/>
            <w:tcBorders>
              <w:top w:val="nil"/>
              <w:left w:val="nil"/>
              <w:bottom w:val="nil"/>
              <w:right w:val="nil"/>
            </w:tcBorders>
            <w:shd w:val="clear" w:color="auto" w:fill="auto"/>
            <w:noWrap/>
            <w:vAlign w:val="bottom"/>
            <w:hideMark/>
          </w:tcPr>
          <w:p w14:paraId="0ADC9CF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0.041</w:t>
            </w:r>
          </w:p>
        </w:tc>
        <w:tc>
          <w:tcPr>
            <w:tcW w:w="868" w:type="dxa"/>
            <w:tcBorders>
              <w:top w:val="nil"/>
              <w:left w:val="nil"/>
              <w:bottom w:val="nil"/>
              <w:right w:val="nil"/>
            </w:tcBorders>
            <w:shd w:val="clear" w:color="auto" w:fill="auto"/>
            <w:noWrap/>
            <w:vAlign w:val="bottom"/>
            <w:hideMark/>
          </w:tcPr>
          <w:p w14:paraId="4C7E4FC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0.053</w:t>
            </w:r>
          </w:p>
        </w:tc>
        <w:tc>
          <w:tcPr>
            <w:tcW w:w="892" w:type="dxa"/>
            <w:tcBorders>
              <w:top w:val="nil"/>
              <w:left w:val="nil"/>
              <w:bottom w:val="nil"/>
              <w:right w:val="nil"/>
            </w:tcBorders>
            <w:shd w:val="clear" w:color="auto" w:fill="auto"/>
            <w:noWrap/>
            <w:vAlign w:val="bottom"/>
            <w:hideMark/>
          </w:tcPr>
          <w:p w14:paraId="24C83B6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0.075</w:t>
            </w:r>
          </w:p>
        </w:tc>
        <w:tc>
          <w:tcPr>
            <w:tcW w:w="892" w:type="dxa"/>
            <w:tcBorders>
              <w:top w:val="nil"/>
              <w:left w:val="nil"/>
              <w:bottom w:val="nil"/>
              <w:right w:val="nil"/>
            </w:tcBorders>
            <w:shd w:val="clear" w:color="auto" w:fill="auto"/>
            <w:noWrap/>
            <w:vAlign w:val="bottom"/>
            <w:hideMark/>
          </w:tcPr>
          <w:p w14:paraId="309C70C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0.135</w:t>
            </w:r>
          </w:p>
        </w:tc>
        <w:tc>
          <w:tcPr>
            <w:tcW w:w="868" w:type="dxa"/>
            <w:tcBorders>
              <w:top w:val="nil"/>
              <w:left w:val="nil"/>
              <w:bottom w:val="nil"/>
              <w:right w:val="nil"/>
            </w:tcBorders>
            <w:shd w:val="clear" w:color="auto" w:fill="auto"/>
            <w:noWrap/>
            <w:vAlign w:val="bottom"/>
            <w:hideMark/>
          </w:tcPr>
          <w:p w14:paraId="7CA06F1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-0.057</w:t>
            </w:r>
          </w:p>
        </w:tc>
        <w:tc>
          <w:tcPr>
            <w:tcW w:w="868" w:type="dxa"/>
            <w:tcBorders>
              <w:top w:val="nil"/>
              <w:left w:val="nil"/>
              <w:bottom w:val="nil"/>
              <w:right w:val="nil"/>
            </w:tcBorders>
            <w:shd w:val="clear" w:color="auto" w:fill="auto"/>
            <w:noWrap/>
            <w:vAlign w:val="bottom"/>
            <w:hideMark/>
          </w:tcPr>
          <w:p w14:paraId="31D3BB6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-0.046</w:t>
            </w:r>
          </w:p>
        </w:tc>
      </w:tr>
      <w:tr w:rsidR="00E06124" w:rsidRPr="00512434" w14:paraId="28ABFFA9" w14:textId="77777777" w:rsidTr="00683053">
        <w:trPr>
          <w:trHeight w:val="266"/>
          <w:jc w:val="center"/>
        </w:trPr>
        <w:tc>
          <w:tcPr>
            <w:tcW w:w="1209" w:type="dxa"/>
            <w:tcBorders>
              <w:top w:val="nil"/>
              <w:left w:val="nil"/>
              <w:bottom w:val="nil"/>
              <w:right w:val="nil"/>
            </w:tcBorders>
            <w:shd w:val="clear" w:color="auto" w:fill="auto"/>
            <w:noWrap/>
            <w:vAlign w:val="bottom"/>
            <w:hideMark/>
          </w:tcPr>
          <w:p w14:paraId="1550606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303" w:type="dxa"/>
            <w:tcBorders>
              <w:top w:val="nil"/>
              <w:left w:val="nil"/>
              <w:bottom w:val="nil"/>
              <w:right w:val="nil"/>
            </w:tcBorders>
            <w:shd w:val="clear" w:color="auto" w:fill="auto"/>
            <w:noWrap/>
            <w:vAlign w:val="bottom"/>
            <w:hideMark/>
          </w:tcPr>
          <w:p w14:paraId="478FB8A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(0.112)</w:t>
            </w:r>
          </w:p>
        </w:tc>
        <w:tc>
          <w:tcPr>
            <w:tcW w:w="1130" w:type="dxa"/>
            <w:tcBorders>
              <w:top w:val="nil"/>
              <w:left w:val="nil"/>
              <w:bottom w:val="nil"/>
              <w:right w:val="nil"/>
            </w:tcBorders>
            <w:shd w:val="clear" w:color="auto" w:fill="auto"/>
            <w:noWrap/>
            <w:vAlign w:val="bottom"/>
            <w:hideMark/>
          </w:tcPr>
          <w:p w14:paraId="6FAC631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(0.172)</w:t>
            </w:r>
          </w:p>
        </w:tc>
        <w:tc>
          <w:tcPr>
            <w:tcW w:w="1210" w:type="dxa"/>
            <w:tcBorders>
              <w:top w:val="nil"/>
              <w:left w:val="nil"/>
              <w:bottom w:val="nil"/>
              <w:right w:val="nil"/>
            </w:tcBorders>
            <w:shd w:val="clear" w:color="auto" w:fill="auto"/>
            <w:noWrap/>
            <w:vAlign w:val="bottom"/>
            <w:hideMark/>
          </w:tcPr>
          <w:p w14:paraId="43635E6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(0.121)</w:t>
            </w:r>
          </w:p>
        </w:tc>
        <w:tc>
          <w:tcPr>
            <w:tcW w:w="1210" w:type="dxa"/>
            <w:tcBorders>
              <w:top w:val="nil"/>
              <w:left w:val="nil"/>
              <w:bottom w:val="nil"/>
              <w:right w:val="nil"/>
            </w:tcBorders>
            <w:shd w:val="clear" w:color="auto" w:fill="auto"/>
            <w:noWrap/>
            <w:vAlign w:val="bottom"/>
            <w:hideMark/>
          </w:tcPr>
          <w:p w14:paraId="562A3E0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(0.163)</w:t>
            </w:r>
          </w:p>
        </w:tc>
        <w:tc>
          <w:tcPr>
            <w:tcW w:w="868" w:type="dxa"/>
            <w:tcBorders>
              <w:top w:val="nil"/>
              <w:left w:val="nil"/>
              <w:bottom w:val="nil"/>
              <w:right w:val="nil"/>
            </w:tcBorders>
            <w:shd w:val="clear" w:color="auto" w:fill="auto"/>
            <w:noWrap/>
            <w:vAlign w:val="bottom"/>
            <w:hideMark/>
          </w:tcPr>
          <w:p w14:paraId="2D9BA3B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(0.150)</w:t>
            </w:r>
          </w:p>
        </w:tc>
        <w:tc>
          <w:tcPr>
            <w:tcW w:w="868" w:type="dxa"/>
            <w:tcBorders>
              <w:top w:val="nil"/>
              <w:left w:val="nil"/>
              <w:bottom w:val="nil"/>
              <w:right w:val="nil"/>
            </w:tcBorders>
            <w:shd w:val="clear" w:color="auto" w:fill="auto"/>
            <w:noWrap/>
            <w:vAlign w:val="bottom"/>
            <w:hideMark/>
          </w:tcPr>
          <w:p w14:paraId="46E443E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(0.188)</w:t>
            </w:r>
          </w:p>
        </w:tc>
        <w:tc>
          <w:tcPr>
            <w:tcW w:w="892" w:type="dxa"/>
            <w:tcBorders>
              <w:top w:val="nil"/>
              <w:left w:val="nil"/>
              <w:bottom w:val="nil"/>
              <w:right w:val="nil"/>
            </w:tcBorders>
            <w:shd w:val="clear" w:color="auto" w:fill="auto"/>
            <w:noWrap/>
            <w:vAlign w:val="bottom"/>
            <w:hideMark/>
          </w:tcPr>
          <w:p w14:paraId="3E0EA78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(0.125)</w:t>
            </w:r>
          </w:p>
        </w:tc>
        <w:tc>
          <w:tcPr>
            <w:tcW w:w="892" w:type="dxa"/>
            <w:tcBorders>
              <w:top w:val="nil"/>
              <w:left w:val="nil"/>
              <w:bottom w:val="nil"/>
              <w:right w:val="nil"/>
            </w:tcBorders>
            <w:shd w:val="clear" w:color="auto" w:fill="auto"/>
            <w:noWrap/>
            <w:vAlign w:val="bottom"/>
            <w:hideMark/>
          </w:tcPr>
          <w:p w14:paraId="533DA40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(0.174)</w:t>
            </w:r>
          </w:p>
        </w:tc>
        <w:tc>
          <w:tcPr>
            <w:tcW w:w="868" w:type="dxa"/>
            <w:tcBorders>
              <w:top w:val="nil"/>
              <w:left w:val="nil"/>
              <w:bottom w:val="nil"/>
              <w:right w:val="nil"/>
            </w:tcBorders>
            <w:shd w:val="clear" w:color="auto" w:fill="auto"/>
            <w:noWrap/>
            <w:vAlign w:val="bottom"/>
            <w:hideMark/>
          </w:tcPr>
          <w:p w14:paraId="7EC9C2E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(0.131)</w:t>
            </w:r>
          </w:p>
        </w:tc>
        <w:tc>
          <w:tcPr>
            <w:tcW w:w="868" w:type="dxa"/>
            <w:tcBorders>
              <w:top w:val="nil"/>
              <w:left w:val="nil"/>
              <w:bottom w:val="nil"/>
              <w:right w:val="nil"/>
            </w:tcBorders>
            <w:shd w:val="clear" w:color="auto" w:fill="auto"/>
            <w:noWrap/>
            <w:vAlign w:val="bottom"/>
            <w:hideMark/>
          </w:tcPr>
          <w:p w14:paraId="1D462FF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(0.173)</w:t>
            </w:r>
          </w:p>
        </w:tc>
      </w:tr>
      <w:tr w:rsidR="00E06124" w:rsidRPr="00512434" w14:paraId="02632734" w14:textId="77777777" w:rsidTr="00512434">
        <w:trPr>
          <w:trHeight w:val="266"/>
          <w:jc w:val="center"/>
        </w:trPr>
        <w:tc>
          <w:tcPr>
            <w:tcW w:w="1209" w:type="dxa"/>
            <w:tcBorders>
              <w:top w:val="single" w:sz="4" w:space="0" w:color="auto"/>
              <w:left w:val="nil"/>
              <w:bottom w:val="nil"/>
              <w:right w:val="nil"/>
            </w:tcBorders>
            <w:shd w:val="clear" w:color="auto" w:fill="auto"/>
            <w:noWrap/>
            <w:vAlign w:val="bottom"/>
            <w:hideMark/>
          </w:tcPr>
          <w:p w14:paraId="697BCEC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Weight</w:t>
            </w:r>
          </w:p>
        </w:tc>
        <w:tc>
          <w:tcPr>
            <w:tcW w:w="1303" w:type="dxa"/>
            <w:tcBorders>
              <w:top w:val="single" w:sz="4" w:space="0" w:color="auto"/>
              <w:left w:val="nil"/>
              <w:bottom w:val="nil"/>
              <w:right w:val="nil"/>
            </w:tcBorders>
            <w:shd w:val="clear" w:color="auto" w:fill="auto"/>
            <w:noWrap/>
            <w:vAlign w:val="bottom"/>
            <w:hideMark/>
          </w:tcPr>
          <w:p w14:paraId="4DB9C1E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No</w:t>
            </w:r>
          </w:p>
        </w:tc>
        <w:tc>
          <w:tcPr>
            <w:tcW w:w="1130" w:type="dxa"/>
            <w:tcBorders>
              <w:top w:val="single" w:sz="4" w:space="0" w:color="auto"/>
              <w:left w:val="nil"/>
              <w:bottom w:val="nil"/>
              <w:right w:val="nil"/>
            </w:tcBorders>
            <w:shd w:val="clear" w:color="auto" w:fill="auto"/>
            <w:noWrap/>
            <w:vAlign w:val="bottom"/>
            <w:hideMark/>
          </w:tcPr>
          <w:p w14:paraId="6A517C0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Yes</w:t>
            </w:r>
          </w:p>
        </w:tc>
        <w:tc>
          <w:tcPr>
            <w:tcW w:w="1210" w:type="dxa"/>
            <w:tcBorders>
              <w:top w:val="single" w:sz="4" w:space="0" w:color="auto"/>
              <w:left w:val="nil"/>
              <w:bottom w:val="nil"/>
              <w:right w:val="nil"/>
            </w:tcBorders>
            <w:shd w:val="clear" w:color="auto" w:fill="auto"/>
            <w:noWrap/>
            <w:vAlign w:val="bottom"/>
            <w:hideMark/>
          </w:tcPr>
          <w:p w14:paraId="531138E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No</w:t>
            </w:r>
          </w:p>
        </w:tc>
        <w:tc>
          <w:tcPr>
            <w:tcW w:w="1210" w:type="dxa"/>
            <w:tcBorders>
              <w:top w:val="single" w:sz="4" w:space="0" w:color="auto"/>
              <w:left w:val="nil"/>
              <w:bottom w:val="nil"/>
              <w:right w:val="nil"/>
            </w:tcBorders>
            <w:shd w:val="clear" w:color="auto" w:fill="auto"/>
            <w:noWrap/>
            <w:vAlign w:val="bottom"/>
            <w:hideMark/>
          </w:tcPr>
          <w:p w14:paraId="56C177A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Yes</w:t>
            </w:r>
          </w:p>
        </w:tc>
        <w:tc>
          <w:tcPr>
            <w:tcW w:w="868" w:type="dxa"/>
            <w:tcBorders>
              <w:top w:val="single" w:sz="4" w:space="0" w:color="auto"/>
              <w:left w:val="nil"/>
              <w:bottom w:val="nil"/>
              <w:right w:val="nil"/>
            </w:tcBorders>
            <w:shd w:val="clear" w:color="auto" w:fill="auto"/>
            <w:noWrap/>
            <w:vAlign w:val="bottom"/>
            <w:hideMark/>
          </w:tcPr>
          <w:p w14:paraId="5718D55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No</w:t>
            </w:r>
          </w:p>
        </w:tc>
        <w:tc>
          <w:tcPr>
            <w:tcW w:w="868" w:type="dxa"/>
            <w:tcBorders>
              <w:top w:val="single" w:sz="4" w:space="0" w:color="auto"/>
              <w:left w:val="nil"/>
              <w:bottom w:val="nil"/>
              <w:right w:val="nil"/>
            </w:tcBorders>
            <w:shd w:val="clear" w:color="auto" w:fill="auto"/>
            <w:noWrap/>
            <w:vAlign w:val="bottom"/>
            <w:hideMark/>
          </w:tcPr>
          <w:p w14:paraId="6EBCDB2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Yes</w:t>
            </w:r>
          </w:p>
        </w:tc>
        <w:tc>
          <w:tcPr>
            <w:tcW w:w="892" w:type="dxa"/>
            <w:tcBorders>
              <w:top w:val="single" w:sz="4" w:space="0" w:color="auto"/>
              <w:left w:val="nil"/>
              <w:bottom w:val="nil"/>
              <w:right w:val="nil"/>
            </w:tcBorders>
            <w:shd w:val="clear" w:color="auto" w:fill="auto"/>
            <w:noWrap/>
            <w:vAlign w:val="bottom"/>
            <w:hideMark/>
          </w:tcPr>
          <w:p w14:paraId="5E30F0C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No</w:t>
            </w:r>
          </w:p>
        </w:tc>
        <w:tc>
          <w:tcPr>
            <w:tcW w:w="892" w:type="dxa"/>
            <w:tcBorders>
              <w:top w:val="single" w:sz="4" w:space="0" w:color="auto"/>
              <w:left w:val="nil"/>
              <w:bottom w:val="nil"/>
              <w:right w:val="nil"/>
            </w:tcBorders>
            <w:shd w:val="clear" w:color="auto" w:fill="auto"/>
            <w:noWrap/>
            <w:vAlign w:val="bottom"/>
            <w:hideMark/>
          </w:tcPr>
          <w:p w14:paraId="16924C1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Yes</w:t>
            </w:r>
          </w:p>
        </w:tc>
        <w:tc>
          <w:tcPr>
            <w:tcW w:w="868" w:type="dxa"/>
            <w:tcBorders>
              <w:top w:val="single" w:sz="4" w:space="0" w:color="auto"/>
              <w:left w:val="nil"/>
              <w:bottom w:val="nil"/>
              <w:right w:val="nil"/>
            </w:tcBorders>
            <w:shd w:val="clear" w:color="auto" w:fill="auto"/>
            <w:noWrap/>
            <w:vAlign w:val="bottom"/>
            <w:hideMark/>
          </w:tcPr>
          <w:p w14:paraId="057D54D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No</w:t>
            </w:r>
          </w:p>
        </w:tc>
        <w:tc>
          <w:tcPr>
            <w:tcW w:w="868" w:type="dxa"/>
            <w:tcBorders>
              <w:top w:val="single" w:sz="4" w:space="0" w:color="auto"/>
              <w:left w:val="nil"/>
              <w:bottom w:val="nil"/>
              <w:right w:val="nil"/>
            </w:tcBorders>
            <w:shd w:val="clear" w:color="auto" w:fill="auto"/>
            <w:noWrap/>
            <w:vAlign w:val="bottom"/>
            <w:hideMark/>
          </w:tcPr>
          <w:p w14:paraId="342B763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Yes</w:t>
            </w:r>
          </w:p>
        </w:tc>
      </w:tr>
      <w:tr w:rsidR="00E06124" w:rsidRPr="00512434" w14:paraId="688DE4C3" w14:textId="77777777" w:rsidTr="00512434">
        <w:trPr>
          <w:trHeight w:val="266"/>
          <w:jc w:val="center"/>
        </w:trPr>
        <w:tc>
          <w:tcPr>
            <w:tcW w:w="1209" w:type="dxa"/>
            <w:tcBorders>
              <w:top w:val="nil"/>
              <w:left w:val="nil"/>
              <w:bottom w:val="nil"/>
              <w:right w:val="nil"/>
            </w:tcBorders>
            <w:shd w:val="clear" w:color="auto" w:fill="auto"/>
            <w:noWrap/>
            <w:vAlign w:val="bottom"/>
            <w:hideMark/>
          </w:tcPr>
          <w:p w14:paraId="30E395B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Observations</w:t>
            </w:r>
          </w:p>
        </w:tc>
        <w:tc>
          <w:tcPr>
            <w:tcW w:w="1303" w:type="dxa"/>
            <w:tcBorders>
              <w:top w:val="nil"/>
              <w:left w:val="nil"/>
              <w:bottom w:val="nil"/>
              <w:right w:val="nil"/>
            </w:tcBorders>
            <w:shd w:val="clear" w:color="auto" w:fill="auto"/>
            <w:noWrap/>
            <w:vAlign w:val="bottom"/>
            <w:hideMark/>
          </w:tcPr>
          <w:p w14:paraId="25F42EB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10513</w:t>
            </w:r>
          </w:p>
        </w:tc>
        <w:tc>
          <w:tcPr>
            <w:tcW w:w="1130" w:type="dxa"/>
            <w:tcBorders>
              <w:top w:val="nil"/>
              <w:left w:val="nil"/>
              <w:bottom w:val="nil"/>
              <w:right w:val="nil"/>
            </w:tcBorders>
            <w:shd w:val="clear" w:color="auto" w:fill="auto"/>
            <w:noWrap/>
            <w:vAlign w:val="bottom"/>
            <w:hideMark/>
          </w:tcPr>
          <w:p w14:paraId="23B0A55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10299</w:t>
            </w:r>
          </w:p>
        </w:tc>
        <w:tc>
          <w:tcPr>
            <w:tcW w:w="1210" w:type="dxa"/>
            <w:tcBorders>
              <w:top w:val="nil"/>
              <w:left w:val="nil"/>
              <w:bottom w:val="nil"/>
              <w:right w:val="nil"/>
            </w:tcBorders>
            <w:shd w:val="clear" w:color="auto" w:fill="auto"/>
            <w:noWrap/>
            <w:vAlign w:val="bottom"/>
            <w:hideMark/>
          </w:tcPr>
          <w:p w14:paraId="4AC35D9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10513</w:t>
            </w:r>
          </w:p>
        </w:tc>
        <w:tc>
          <w:tcPr>
            <w:tcW w:w="1210" w:type="dxa"/>
            <w:tcBorders>
              <w:top w:val="nil"/>
              <w:left w:val="nil"/>
              <w:bottom w:val="nil"/>
              <w:right w:val="nil"/>
            </w:tcBorders>
            <w:shd w:val="clear" w:color="auto" w:fill="auto"/>
            <w:noWrap/>
            <w:vAlign w:val="bottom"/>
            <w:hideMark/>
          </w:tcPr>
          <w:p w14:paraId="43EAF83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10299</w:t>
            </w:r>
          </w:p>
        </w:tc>
        <w:tc>
          <w:tcPr>
            <w:tcW w:w="868" w:type="dxa"/>
            <w:tcBorders>
              <w:top w:val="nil"/>
              <w:left w:val="nil"/>
              <w:bottom w:val="nil"/>
              <w:right w:val="nil"/>
            </w:tcBorders>
            <w:shd w:val="clear" w:color="auto" w:fill="auto"/>
            <w:noWrap/>
            <w:vAlign w:val="bottom"/>
            <w:hideMark/>
          </w:tcPr>
          <w:p w14:paraId="28407DC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10513</w:t>
            </w:r>
          </w:p>
        </w:tc>
        <w:tc>
          <w:tcPr>
            <w:tcW w:w="868" w:type="dxa"/>
            <w:tcBorders>
              <w:top w:val="nil"/>
              <w:left w:val="nil"/>
              <w:bottom w:val="nil"/>
              <w:right w:val="nil"/>
            </w:tcBorders>
            <w:shd w:val="clear" w:color="auto" w:fill="auto"/>
            <w:noWrap/>
            <w:vAlign w:val="bottom"/>
            <w:hideMark/>
          </w:tcPr>
          <w:p w14:paraId="4D26903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10299</w:t>
            </w:r>
          </w:p>
        </w:tc>
        <w:tc>
          <w:tcPr>
            <w:tcW w:w="892" w:type="dxa"/>
            <w:tcBorders>
              <w:top w:val="nil"/>
              <w:left w:val="nil"/>
              <w:bottom w:val="nil"/>
              <w:right w:val="nil"/>
            </w:tcBorders>
            <w:shd w:val="clear" w:color="auto" w:fill="auto"/>
            <w:noWrap/>
            <w:vAlign w:val="bottom"/>
            <w:hideMark/>
          </w:tcPr>
          <w:p w14:paraId="5B78568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10513</w:t>
            </w:r>
          </w:p>
        </w:tc>
        <w:tc>
          <w:tcPr>
            <w:tcW w:w="892" w:type="dxa"/>
            <w:tcBorders>
              <w:top w:val="nil"/>
              <w:left w:val="nil"/>
              <w:bottom w:val="nil"/>
              <w:right w:val="nil"/>
            </w:tcBorders>
            <w:shd w:val="clear" w:color="auto" w:fill="auto"/>
            <w:noWrap/>
            <w:vAlign w:val="bottom"/>
            <w:hideMark/>
          </w:tcPr>
          <w:p w14:paraId="329CD8E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10299</w:t>
            </w:r>
          </w:p>
        </w:tc>
        <w:tc>
          <w:tcPr>
            <w:tcW w:w="868" w:type="dxa"/>
            <w:tcBorders>
              <w:top w:val="nil"/>
              <w:left w:val="nil"/>
              <w:bottom w:val="nil"/>
              <w:right w:val="nil"/>
            </w:tcBorders>
            <w:shd w:val="clear" w:color="auto" w:fill="auto"/>
            <w:noWrap/>
            <w:vAlign w:val="bottom"/>
            <w:hideMark/>
          </w:tcPr>
          <w:p w14:paraId="463AF26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10509</w:t>
            </w:r>
          </w:p>
        </w:tc>
        <w:tc>
          <w:tcPr>
            <w:tcW w:w="868" w:type="dxa"/>
            <w:tcBorders>
              <w:top w:val="nil"/>
              <w:left w:val="nil"/>
              <w:bottom w:val="nil"/>
              <w:right w:val="nil"/>
            </w:tcBorders>
            <w:shd w:val="clear" w:color="auto" w:fill="auto"/>
            <w:noWrap/>
            <w:vAlign w:val="bottom"/>
            <w:hideMark/>
          </w:tcPr>
          <w:p w14:paraId="5E7278B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10295</w:t>
            </w:r>
          </w:p>
        </w:tc>
      </w:tr>
      <w:tr w:rsidR="00E06124" w:rsidRPr="00512434" w14:paraId="4590D7CF" w14:textId="77777777" w:rsidTr="00512434">
        <w:trPr>
          <w:trHeight w:val="277"/>
          <w:jc w:val="center"/>
        </w:trPr>
        <w:tc>
          <w:tcPr>
            <w:tcW w:w="1209" w:type="dxa"/>
            <w:tcBorders>
              <w:top w:val="nil"/>
              <w:left w:val="nil"/>
              <w:bottom w:val="single" w:sz="8" w:space="0" w:color="auto"/>
              <w:right w:val="nil"/>
            </w:tcBorders>
            <w:shd w:val="clear" w:color="auto" w:fill="auto"/>
            <w:noWrap/>
            <w:vAlign w:val="bottom"/>
            <w:hideMark/>
          </w:tcPr>
          <w:p w14:paraId="268DF65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R squared</w:t>
            </w:r>
          </w:p>
        </w:tc>
        <w:tc>
          <w:tcPr>
            <w:tcW w:w="1303" w:type="dxa"/>
            <w:tcBorders>
              <w:top w:val="nil"/>
              <w:left w:val="nil"/>
              <w:bottom w:val="single" w:sz="8" w:space="0" w:color="auto"/>
              <w:right w:val="nil"/>
            </w:tcBorders>
            <w:shd w:val="clear" w:color="auto" w:fill="auto"/>
            <w:noWrap/>
            <w:vAlign w:val="bottom"/>
            <w:hideMark/>
          </w:tcPr>
          <w:p w14:paraId="2F3037D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0.34</w:t>
            </w:r>
          </w:p>
        </w:tc>
        <w:tc>
          <w:tcPr>
            <w:tcW w:w="1130" w:type="dxa"/>
            <w:tcBorders>
              <w:top w:val="nil"/>
              <w:left w:val="nil"/>
              <w:bottom w:val="single" w:sz="8" w:space="0" w:color="auto"/>
              <w:right w:val="nil"/>
            </w:tcBorders>
            <w:shd w:val="clear" w:color="auto" w:fill="auto"/>
            <w:noWrap/>
            <w:vAlign w:val="bottom"/>
            <w:hideMark/>
          </w:tcPr>
          <w:p w14:paraId="67DB94A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0.28</w:t>
            </w:r>
          </w:p>
        </w:tc>
        <w:tc>
          <w:tcPr>
            <w:tcW w:w="1210" w:type="dxa"/>
            <w:tcBorders>
              <w:top w:val="nil"/>
              <w:left w:val="nil"/>
              <w:bottom w:val="single" w:sz="8" w:space="0" w:color="auto"/>
              <w:right w:val="nil"/>
            </w:tcBorders>
            <w:shd w:val="clear" w:color="auto" w:fill="auto"/>
            <w:noWrap/>
            <w:vAlign w:val="bottom"/>
            <w:hideMark/>
          </w:tcPr>
          <w:p w14:paraId="6DE2276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0.46</w:t>
            </w:r>
          </w:p>
        </w:tc>
        <w:tc>
          <w:tcPr>
            <w:tcW w:w="1210" w:type="dxa"/>
            <w:tcBorders>
              <w:top w:val="nil"/>
              <w:left w:val="nil"/>
              <w:bottom w:val="single" w:sz="8" w:space="0" w:color="auto"/>
              <w:right w:val="nil"/>
            </w:tcBorders>
            <w:shd w:val="clear" w:color="auto" w:fill="auto"/>
            <w:noWrap/>
            <w:vAlign w:val="bottom"/>
            <w:hideMark/>
          </w:tcPr>
          <w:p w14:paraId="180D78E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0.42</w:t>
            </w:r>
          </w:p>
        </w:tc>
        <w:tc>
          <w:tcPr>
            <w:tcW w:w="868" w:type="dxa"/>
            <w:tcBorders>
              <w:top w:val="nil"/>
              <w:left w:val="nil"/>
              <w:bottom w:val="single" w:sz="8" w:space="0" w:color="auto"/>
              <w:right w:val="nil"/>
            </w:tcBorders>
            <w:shd w:val="clear" w:color="auto" w:fill="auto"/>
            <w:noWrap/>
            <w:vAlign w:val="bottom"/>
            <w:hideMark/>
          </w:tcPr>
          <w:p w14:paraId="57E2EB8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0.58</w:t>
            </w:r>
          </w:p>
        </w:tc>
        <w:tc>
          <w:tcPr>
            <w:tcW w:w="868" w:type="dxa"/>
            <w:tcBorders>
              <w:top w:val="nil"/>
              <w:left w:val="nil"/>
              <w:bottom w:val="single" w:sz="8" w:space="0" w:color="auto"/>
              <w:right w:val="nil"/>
            </w:tcBorders>
            <w:shd w:val="clear" w:color="auto" w:fill="auto"/>
            <w:noWrap/>
            <w:vAlign w:val="bottom"/>
            <w:hideMark/>
          </w:tcPr>
          <w:p w14:paraId="3772CF8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0.57</w:t>
            </w:r>
          </w:p>
        </w:tc>
        <w:tc>
          <w:tcPr>
            <w:tcW w:w="892" w:type="dxa"/>
            <w:tcBorders>
              <w:top w:val="nil"/>
              <w:left w:val="nil"/>
              <w:bottom w:val="single" w:sz="8" w:space="0" w:color="auto"/>
              <w:right w:val="nil"/>
            </w:tcBorders>
            <w:shd w:val="clear" w:color="auto" w:fill="auto"/>
            <w:noWrap/>
            <w:vAlign w:val="bottom"/>
            <w:hideMark/>
          </w:tcPr>
          <w:p w14:paraId="4A8FF89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0.43</w:t>
            </w:r>
          </w:p>
        </w:tc>
        <w:tc>
          <w:tcPr>
            <w:tcW w:w="892" w:type="dxa"/>
            <w:tcBorders>
              <w:top w:val="nil"/>
              <w:left w:val="nil"/>
              <w:bottom w:val="single" w:sz="8" w:space="0" w:color="auto"/>
              <w:right w:val="nil"/>
            </w:tcBorders>
            <w:shd w:val="clear" w:color="auto" w:fill="auto"/>
            <w:noWrap/>
            <w:vAlign w:val="bottom"/>
            <w:hideMark/>
          </w:tcPr>
          <w:p w14:paraId="1041439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0.38</w:t>
            </w:r>
          </w:p>
        </w:tc>
        <w:tc>
          <w:tcPr>
            <w:tcW w:w="868" w:type="dxa"/>
            <w:tcBorders>
              <w:top w:val="nil"/>
              <w:left w:val="nil"/>
              <w:bottom w:val="single" w:sz="8" w:space="0" w:color="auto"/>
              <w:right w:val="nil"/>
            </w:tcBorders>
            <w:shd w:val="clear" w:color="auto" w:fill="auto"/>
            <w:noWrap/>
            <w:vAlign w:val="bottom"/>
            <w:hideMark/>
          </w:tcPr>
          <w:p w14:paraId="32CB370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0.35</w:t>
            </w:r>
          </w:p>
        </w:tc>
        <w:tc>
          <w:tcPr>
            <w:tcW w:w="868" w:type="dxa"/>
            <w:tcBorders>
              <w:top w:val="nil"/>
              <w:left w:val="nil"/>
              <w:bottom w:val="single" w:sz="8" w:space="0" w:color="auto"/>
              <w:right w:val="nil"/>
            </w:tcBorders>
            <w:shd w:val="clear" w:color="auto" w:fill="auto"/>
            <w:noWrap/>
            <w:vAlign w:val="bottom"/>
            <w:hideMark/>
          </w:tcPr>
          <w:p w14:paraId="3909BC7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w:t>
            </w:r>
          </w:p>
        </w:tc>
      </w:tr>
    </w:tbl>
    <w:p w14:paraId="60B3F637" w14:textId="77777777" w:rsidR="00E06124" w:rsidRPr="00683053" w:rsidRDefault="00E06124" w:rsidP="00512434">
      <w:pPr>
        <w:spacing w:line="360" w:lineRule="auto"/>
        <w:ind w:left="720" w:hanging="720"/>
        <w:jc w:val="center"/>
        <w:rPr>
          <w:rFonts w:asciiTheme="majorHAnsi" w:hAnsiTheme="majorHAnsi" w:cstheme="majorHAnsi"/>
          <w:lang w:val="en-US"/>
        </w:rPr>
      </w:pPr>
    </w:p>
    <w:p w14:paraId="72F989E6" w14:textId="5F6A94A8" w:rsidR="00E06124" w:rsidRDefault="00AD5749" w:rsidP="00CF21D5">
      <w:pPr>
        <w:spacing w:line="360" w:lineRule="auto"/>
        <w:ind w:left="720" w:hanging="720"/>
        <w:jc w:val="both"/>
        <w:rPr>
          <w:rFonts w:asciiTheme="majorHAnsi" w:hAnsiTheme="majorHAnsi" w:cstheme="majorHAnsi"/>
          <w:lang w:val="en-US"/>
        </w:rPr>
        <w:sectPr w:rsidR="00E06124" w:rsidSect="006D5428">
          <w:pgSz w:w="16838" w:h="11906" w:orient="landscape"/>
          <w:pgMar w:top="1440" w:right="1440" w:bottom="1440" w:left="1440" w:header="706" w:footer="706" w:gutter="0"/>
          <w:cols w:space="708"/>
          <w:docGrid w:linePitch="360"/>
        </w:sectPr>
      </w:pPr>
      <w:r>
        <w:rPr>
          <w:rFonts w:asciiTheme="majorHAnsi" w:hAnsiTheme="majorHAnsi" w:cstheme="majorHAnsi"/>
          <w:lang w:val="en-US"/>
        </w:rPr>
        <w:t xml:space="preserve">    </w:t>
      </w:r>
    </w:p>
    <w:p w14:paraId="6A2C284D" w14:textId="77777777" w:rsidR="00E06124" w:rsidRDefault="00E06124"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lastRenderedPageBreak/>
        <w:t>Appendix B : Placebo sample regression table</w:t>
      </w:r>
    </w:p>
    <w:tbl>
      <w:tblPr>
        <w:tblW w:w="6015" w:type="dxa"/>
        <w:jc w:val="center"/>
        <w:tblLook w:val="04A0" w:firstRow="1" w:lastRow="0" w:firstColumn="1" w:lastColumn="0" w:noHBand="0" w:noVBand="1"/>
      </w:tblPr>
      <w:tblGrid>
        <w:gridCol w:w="1314"/>
        <w:gridCol w:w="1096"/>
        <w:gridCol w:w="1033"/>
        <w:gridCol w:w="888"/>
        <w:gridCol w:w="888"/>
        <w:gridCol w:w="888"/>
      </w:tblGrid>
      <w:tr w:rsidR="00E06124" w:rsidRPr="00512434" w14:paraId="13C31FA0" w14:textId="77777777" w:rsidTr="00512434">
        <w:trPr>
          <w:trHeight w:val="277"/>
          <w:jc w:val="center"/>
        </w:trPr>
        <w:tc>
          <w:tcPr>
            <w:tcW w:w="1314" w:type="dxa"/>
            <w:tcBorders>
              <w:top w:val="single" w:sz="4" w:space="0" w:color="auto"/>
              <w:left w:val="nil"/>
              <w:bottom w:val="single" w:sz="8" w:space="0" w:color="auto"/>
              <w:right w:val="nil"/>
            </w:tcBorders>
            <w:shd w:val="clear" w:color="auto" w:fill="auto"/>
            <w:noWrap/>
            <w:vAlign w:val="bottom"/>
            <w:hideMark/>
          </w:tcPr>
          <w:p w14:paraId="3B12F39B" w14:textId="77777777" w:rsidR="00E06124" w:rsidRPr="00512434" w:rsidRDefault="00E06124" w:rsidP="00683053">
            <w:pPr>
              <w:rPr>
                <w:rFonts w:asciiTheme="majorHAnsi" w:eastAsia="Times New Roman" w:hAnsiTheme="majorHAnsi" w:cstheme="majorHAnsi"/>
                <w:b/>
                <w:bCs/>
                <w:color w:val="000000"/>
                <w:sz w:val="16"/>
                <w:szCs w:val="16"/>
                <w:lang w:eastAsia="en-GB"/>
              </w:rPr>
            </w:pPr>
          </w:p>
        </w:tc>
        <w:tc>
          <w:tcPr>
            <w:tcW w:w="1096" w:type="dxa"/>
            <w:tcBorders>
              <w:top w:val="single" w:sz="4" w:space="0" w:color="auto"/>
              <w:left w:val="nil"/>
              <w:bottom w:val="single" w:sz="8" w:space="0" w:color="auto"/>
              <w:right w:val="nil"/>
            </w:tcBorders>
            <w:shd w:val="clear" w:color="auto" w:fill="auto"/>
            <w:noWrap/>
            <w:vAlign w:val="bottom"/>
            <w:hideMark/>
          </w:tcPr>
          <w:p w14:paraId="61184EC8" w14:textId="77777777" w:rsidR="00E06124" w:rsidRPr="00512434" w:rsidRDefault="00E06124" w:rsidP="00683053">
            <w:pPr>
              <w:rPr>
                <w:rFonts w:asciiTheme="majorHAnsi" w:eastAsia="Times New Roman" w:hAnsiTheme="majorHAnsi" w:cstheme="majorHAnsi"/>
                <w:b/>
                <w:bCs/>
                <w:color w:val="000000"/>
                <w:sz w:val="16"/>
                <w:szCs w:val="16"/>
                <w:lang w:eastAsia="en-GB"/>
              </w:rPr>
            </w:pPr>
            <w:r>
              <w:rPr>
                <w:rFonts w:asciiTheme="majorHAnsi" w:eastAsia="Times New Roman" w:hAnsiTheme="majorHAnsi" w:cstheme="majorHAnsi"/>
                <w:b/>
                <w:bCs/>
                <w:color w:val="000000"/>
                <w:sz w:val="16"/>
                <w:szCs w:val="16"/>
                <w:lang w:eastAsia="en-GB"/>
              </w:rPr>
              <w:t xml:space="preserve">Labour cost </w:t>
            </w:r>
          </w:p>
        </w:tc>
        <w:tc>
          <w:tcPr>
            <w:tcW w:w="941" w:type="dxa"/>
            <w:tcBorders>
              <w:top w:val="single" w:sz="4" w:space="0" w:color="auto"/>
              <w:left w:val="nil"/>
              <w:bottom w:val="single" w:sz="8" w:space="0" w:color="auto"/>
              <w:right w:val="nil"/>
            </w:tcBorders>
            <w:shd w:val="clear" w:color="auto" w:fill="auto"/>
            <w:noWrap/>
            <w:vAlign w:val="bottom"/>
            <w:hideMark/>
          </w:tcPr>
          <w:p w14:paraId="7C9347D0" w14:textId="77777777" w:rsidR="00E06124" w:rsidRPr="00512434" w:rsidRDefault="00E06124" w:rsidP="00683053">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Employment</w:t>
            </w:r>
          </w:p>
        </w:tc>
        <w:tc>
          <w:tcPr>
            <w:tcW w:w="888" w:type="dxa"/>
            <w:tcBorders>
              <w:top w:val="single" w:sz="4" w:space="0" w:color="auto"/>
              <w:left w:val="nil"/>
              <w:bottom w:val="single" w:sz="8" w:space="0" w:color="auto"/>
              <w:right w:val="nil"/>
            </w:tcBorders>
            <w:shd w:val="clear" w:color="auto" w:fill="auto"/>
            <w:noWrap/>
            <w:vAlign w:val="bottom"/>
            <w:hideMark/>
          </w:tcPr>
          <w:p w14:paraId="3936EBC0" w14:textId="77777777" w:rsidR="00E06124" w:rsidRPr="00512434" w:rsidRDefault="00E06124" w:rsidP="00683053">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Capital</w:t>
            </w:r>
          </w:p>
        </w:tc>
        <w:tc>
          <w:tcPr>
            <w:tcW w:w="888" w:type="dxa"/>
            <w:tcBorders>
              <w:top w:val="single" w:sz="4" w:space="0" w:color="auto"/>
              <w:left w:val="nil"/>
              <w:bottom w:val="single" w:sz="8" w:space="0" w:color="auto"/>
              <w:right w:val="nil"/>
            </w:tcBorders>
            <w:shd w:val="clear" w:color="auto" w:fill="auto"/>
            <w:noWrap/>
            <w:vAlign w:val="bottom"/>
            <w:hideMark/>
          </w:tcPr>
          <w:p w14:paraId="0AFF01E4" w14:textId="77777777" w:rsidR="00E06124" w:rsidRPr="00512434" w:rsidRDefault="00E06124" w:rsidP="00683053">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Revenue</w:t>
            </w:r>
          </w:p>
        </w:tc>
        <w:tc>
          <w:tcPr>
            <w:tcW w:w="888" w:type="dxa"/>
            <w:tcBorders>
              <w:top w:val="single" w:sz="4" w:space="0" w:color="auto"/>
              <w:left w:val="nil"/>
              <w:bottom w:val="single" w:sz="8" w:space="0" w:color="auto"/>
              <w:right w:val="nil"/>
            </w:tcBorders>
            <w:shd w:val="clear" w:color="auto" w:fill="auto"/>
            <w:noWrap/>
            <w:vAlign w:val="bottom"/>
            <w:hideMark/>
          </w:tcPr>
          <w:p w14:paraId="73F832D6" w14:textId="77777777" w:rsidR="00E06124" w:rsidRPr="00512434" w:rsidRDefault="00E06124" w:rsidP="00683053">
            <w:pPr>
              <w:rPr>
                <w:rFonts w:asciiTheme="majorHAnsi" w:eastAsia="Times New Roman" w:hAnsiTheme="majorHAnsi" w:cstheme="majorHAnsi"/>
                <w:b/>
                <w:bCs/>
                <w:color w:val="000000"/>
                <w:sz w:val="16"/>
                <w:szCs w:val="16"/>
                <w:lang w:eastAsia="en-GB"/>
              </w:rPr>
            </w:pPr>
            <w:r w:rsidRPr="00512434">
              <w:rPr>
                <w:rFonts w:asciiTheme="majorHAnsi" w:eastAsia="Times New Roman" w:hAnsiTheme="majorHAnsi" w:cstheme="majorHAnsi"/>
                <w:b/>
                <w:bCs/>
                <w:color w:val="000000"/>
                <w:sz w:val="16"/>
                <w:szCs w:val="16"/>
                <w:lang w:val="en-US" w:eastAsia="en-GB"/>
              </w:rPr>
              <w:t>Profit</w:t>
            </w:r>
          </w:p>
        </w:tc>
      </w:tr>
      <w:tr w:rsidR="00E06124" w:rsidRPr="00512434" w14:paraId="1963317B"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FA0F58C" w14:textId="77777777" w:rsidR="00E06124" w:rsidRPr="00512434" w:rsidRDefault="00E06124" w:rsidP="00683053">
            <w:pPr>
              <w:rPr>
                <w:rFonts w:asciiTheme="majorHAnsi" w:eastAsia="Times New Roman" w:hAnsiTheme="majorHAnsi" w:cstheme="majorHAnsi"/>
                <w:color w:val="000000"/>
                <w:sz w:val="16"/>
                <w:szCs w:val="16"/>
                <w:lang w:eastAsia="en-GB"/>
              </w:rPr>
            </w:pPr>
          </w:p>
        </w:tc>
        <w:tc>
          <w:tcPr>
            <w:tcW w:w="1096" w:type="dxa"/>
            <w:tcBorders>
              <w:top w:val="nil"/>
              <w:left w:val="nil"/>
              <w:bottom w:val="nil"/>
              <w:right w:val="nil"/>
            </w:tcBorders>
            <w:shd w:val="clear" w:color="auto" w:fill="auto"/>
            <w:noWrap/>
            <w:vAlign w:val="bottom"/>
            <w:hideMark/>
          </w:tcPr>
          <w:p w14:paraId="1CF8CD16" w14:textId="77777777" w:rsidR="00E06124" w:rsidRPr="00512434" w:rsidRDefault="00E06124" w:rsidP="00683053">
            <w:pPr>
              <w:rPr>
                <w:rFonts w:asciiTheme="majorHAnsi" w:eastAsia="Times New Roman" w:hAnsiTheme="majorHAnsi" w:cstheme="majorHAnsi"/>
                <w:sz w:val="16"/>
                <w:szCs w:val="16"/>
                <w:lang w:eastAsia="en-GB"/>
              </w:rPr>
            </w:pPr>
          </w:p>
        </w:tc>
        <w:tc>
          <w:tcPr>
            <w:tcW w:w="941" w:type="dxa"/>
            <w:tcBorders>
              <w:top w:val="nil"/>
              <w:left w:val="nil"/>
              <w:bottom w:val="nil"/>
              <w:right w:val="nil"/>
            </w:tcBorders>
            <w:shd w:val="clear" w:color="auto" w:fill="auto"/>
            <w:noWrap/>
            <w:vAlign w:val="bottom"/>
            <w:hideMark/>
          </w:tcPr>
          <w:p w14:paraId="0FE07493" w14:textId="77777777" w:rsidR="00E06124" w:rsidRPr="00512434" w:rsidRDefault="00E06124" w:rsidP="00683053">
            <w:pPr>
              <w:rPr>
                <w:rFonts w:asciiTheme="majorHAnsi" w:eastAsia="Times New Roman" w:hAnsiTheme="majorHAnsi" w:cstheme="majorHAnsi"/>
                <w:sz w:val="16"/>
                <w:szCs w:val="16"/>
                <w:lang w:eastAsia="en-GB"/>
              </w:rPr>
            </w:pPr>
          </w:p>
        </w:tc>
        <w:tc>
          <w:tcPr>
            <w:tcW w:w="888" w:type="dxa"/>
            <w:tcBorders>
              <w:top w:val="nil"/>
              <w:left w:val="nil"/>
              <w:bottom w:val="nil"/>
              <w:right w:val="nil"/>
            </w:tcBorders>
            <w:shd w:val="clear" w:color="auto" w:fill="auto"/>
            <w:noWrap/>
            <w:vAlign w:val="bottom"/>
            <w:hideMark/>
          </w:tcPr>
          <w:p w14:paraId="30E4EBFE" w14:textId="77777777" w:rsidR="00E06124" w:rsidRPr="00512434" w:rsidRDefault="00E06124" w:rsidP="00683053">
            <w:pPr>
              <w:rPr>
                <w:rFonts w:asciiTheme="majorHAnsi" w:eastAsia="Times New Roman" w:hAnsiTheme="majorHAnsi" w:cstheme="majorHAnsi"/>
                <w:sz w:val="16"/>
                <w:szCs w:val="16"/>
                <w:lang w:eastAsia="en-GB"/>
              </w:rPr>
            </w:pPr>
          </w:p>
        </w:tc>
        <w:tc>
          <w:tcPr>
            <w:tcW w:w="888" w:type="dxa"/>
            <w:tcBorders>
              <w:top w:val="nil"/>
              <w:left w:val="nil"/>
              <w:bottom w:val="nil"/>
              <w:right w:val="nil"/>
            </w:tcBorders>
            <w:shd w:val="clear" w:color="auto" w:fill="auto"/>
            <w:noWrap/>
            <w:vAlign w:val="bottom"/>
            <w:hideMark/>
          </w:tcPr>
          <w:p w14:paraId="593E38C7" w14:textId="77777777" w:rsidR="00E06124" w:rsidRPr="00512434" w:rsidRDefault="00E06124" w:rsidP="00683053">
            <w:pPr>
              <w:rPr>
                <w:rFonts w:asciiTheme="majorHAnsi" w:eastAsia="Times New Roman" w:hAnsiTheme="majorHAnsi" w:cstheme="majorHAnsi"/>
                <w:sz w:val="16"/>
                <w:szCs w:val="16"/>
                <w:lang w:eastAsia="en-GB"/>
              </w:rPr>
            </w:pPr>
          </w:p>
        </w:tc>
        <w:tc>
          <w:tcPr>
            <w:tcW w:w="888" w:type="dxa"/>
            <w:tcBorders>
              <w:top w:val="nil"/>
              <w:left w:val="nil"/>
              <w:bottom w:val="nil"/>
              <w:right w:val="nil"/>
            </w:tcBorders>
            <w:shd w:val="clear" w:color="auto" w:fill="auto"/>
            <w:noWrap/>
            <w:vAlign w:val="bottom"/>
            <w:hideMark/>
          </w:tcPr>
          <w:p w14:paraId="43150B66" w14:textId="77777777" w:rsidR="00E06124" w:rsidRPr="00512434" w:rsidRDefault="00E06124" w:rsidP="00683053">
            <w:pPr>
              <w:rPr>
                <w:rFonts w:asciiTheme="majorHAnsi" w:eastAsia="Times New Roman" w:hAnsiTheme="majorHAnsi" w:cstheme="majorHAnsi"/>
                <w:sz w:val="16"/>
                <w:szCs w:val="16"/>
                <w:lang w:eastAsia="en-GB"/>
              </w:rPr>
            </w:pPr>
          </w:p>
        </w:tc>
      </w:tr>
      <w:tr w:rsidR="00E06124" w:rsidRPr="00512434" w14:paraId="22C42033"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0D6E04F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fa*2011</w:t>
            </w:r>
          </w:p>
        </w:tc>
        <w:tc>
          <w:tcPr>
            <w:tcW w:w="1096" w:type="dxa"/>
            <w:tcBorders>
              <w:top w:val="nil"/>
              <w:left w:val="nil"/>
              <w:bottom w:val="nil"/>
              <w:right w:val="nil"/>
            </w:tcBorders>
            <w:shd w:val="clear" w:color="auto" w:fill="auto"/>
            <w:noWrap/>
            <w:vAlign w:val="bottom"/>
            <w:hideMark/>
          </w:tcPr>
          <w:p w14:paraId="50C143E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-0.601</w:t>
            </w:r>
          </w:p>
        </w:tc>
        <w:tc>
          <w:tcPr>
            <w:tcW w:w="941" w:type="dxa"/>
            <w:tcBorders>
              <w:top w:val="nil"/>
              <w:left w:val="nil"/>
              <w:bottom w:val="nil"/>
              <w:right w:val="nil"/>
            </w:tcBorders>
            <w:shd w:val="clear" w:color="auto" w:fill="auto"/>
            <w:noWrap/>
            <w:vAlign w:val="bottom"/>
            <w:hideMark/>
          </w:tcPr>
          <w:p w14:paraId="2157F74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-0.588</w:t>
            </w:r>
          </w:p>
        </w:tc>
        <w:tc>
          <w:tcPr>
            <w:tcW w:w="888" w:type="dxa"/>
            <w:tcBorders>
              <w:top w:val="nil"/>
              <w:left w:val="nil"/>
              <w:bottom w:val="nil"/>
              <w:right w:val="nil"/>
            </w:tcBorders>
            <w:shd w:val="clear" w:color="auto" w:fill="auto"/>
            <w:noWrap/>
            <w:vAlign w:val="bottom"/>
            <w:hideMark/>
          </w:tcPr>
          <w:p w14:paraId="46B51A6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-0.311</w:t>
            </w:r>
          </w:p>
        </w:tc>
        <w:tc>
          <w:tcPr>
            <w:tcW w:w="888" w:type="dxa"/>
            <w:tcBorders>
              <w:top w:val="nil"/>
              <w:left w:val="nil"/>
              <w:bottom w:val="nil"/>
              <w:right w:val="nil"/>
            </w:tcBorders>
            <w:shd w:val="clear" w:color="auto" w:fill="auto"/>
            <w:noWrap/>
            <w:vAlign w:val="bottom"/>
            <w:hideMark/>
          </w:tcPr>
          <w:p w14:paraId="2CC2DE8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-0.288</w:t>
            </w:r>
          </w:p>
        </w:tc>
        <w:tc>
          <w:tcPr>
            <w:tcW w:w="888" w:type="dxa"/>
            <w:tcBorders>
              <w:top w:val="nil"/>
              <w:left w:val="nil"/>
              <w:bottom w:val="nil"/>
              <w:right w:val="nil"/>
            </w:tcBorders>
            <w:shd w:val="clear" w:color="auto" w:fill="auto"/>
            <w:noWrap/>
            <w:vAlign w:val="bottom"/>
            <w:hideMark/>
          </w:tcPr>
          <w:p w14:paraId="4AE087B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-0.418</w:t>
            </w:r>
          </w:p>
        </w:tc>
      </w:tr>
      <w:tr w:rsidR="00E06124" w:rsidRPr="00512434" w14:paraId="546A7806"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914036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096" w:type="dxa"/>
            <w:tcBorders>
              <w:top w:val="nil"/>
              <w:left w:val="nil"/>
              <w:bottom w:val="nil"/>
              <w:right w:val="nil"/>
            </w:tcBorders>
            <w:shd w:val="clear" w:color="auto" w:fill="auto"/>
            <w:noWrap/>
            <w:vAlign w:val="bottom"/>
            <w:hideMark/>
          </w:tcPr>
          <w:p w14:paraId="6FD2FC6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(0.871)</w:t>
            </w:r>
          </w:p>
        </w:tc>
        <w:tc>
          <w:tcPr>
            <w:tcW w:w="941" w:type="dxa"/>
            <w:tcBorders>
              <w:top w:val="nil"/>
              <w:left w:val="nil"/>
              <w:bottom w:val="nil"/>
              <w:right w:val="nil"/>
            </w:tcBorders>
            <w:shd w:val="clear" w:color="auto" w:fill="auto"/>
            <w:noWrap/>
            <w:vAlign w:val="bottom"/>
            <w:hideMark/>
          </w:tcPr>
          <w:p w14:paraId="0C28E20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(0.789)</w:t>
            </w:r>
          </w:p>
        </w:tc>
        <w:tc>
          <w:tcPr>
            <w:tcW w:w="888" w:type="dxa"/>
            <w:tcBorders>
              <w:top w:val="nil"/>
              <w:left w:val="nil"/>
              <w:bottom w:val="nil"/>
              <w:right w:val="nil"/>
            </w:tcBorders>
            <w:shd w:val="clear" w:color="auto" w:fill="auto"/>
            <w:noWrap/>
            <w:vAlign w:val="bottom"/>
            <w:hideMark/>
          </w:tcPr>
          <w:p w14:paraId="17747A8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(0.750)</w:t>
            </w:r>
          </w:p>
        </w:tc>
        <w:tc>
          <w:tcPr>
            <w:tcW w:w="888" w:type="dxa"/>
            <w:tcBorders>
              <w:top w:val="nil"/>
              <w:left w:val="nil"/>
              <w:bottom w:val="nil"/>
              <w:right w:val="nil"/>
            </w:tcBorders>
            <w:shd w:val="clear" w:color="auto" w:fill="auto"/>
            <w:noWrap/>
            <w:vAlign w:val="bottom"/>
            <w:hideMark/>
          </w:tcPr>
          <w:p w14:paraId="6A8CEE7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(1.050)</w:t>
            </w:r>
          </w:p>
        </w:tc>
        <w:tc>
          <w:tcPr>
            <w:tcW w:w="888" w:type="dxa"/>
            <w:tcBorders>
              <w:top w:val="nil"/>
              <w:left w:val="nil"/>
              <w:bottom w:val="nil"/>
              <w:right w:val="nil"/>
            </w:tcBorders>
            <w:shd w:val="clear" w:color="auto" w:fill="auto"/>
            <w:noWrap/>
            <w:vAlign w:val="bottom"/>
            <w:hideMark/>
          </w:tcPr>
          <w:p w14:paraId="3BA56D9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(1.013)</w:t>
            </w:r>
          </w:p>
        </w:tc>
      </w:tr>
      <w:tr w:rsidR="00E06124" w:rsidRPr="00512434" w14:paraId="78B5310A"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138B582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fa*2012</w:t>
            </w:r>
          </w:p>
        </w:tc>
        <w:tc>
          <w:tcPr>
            <w:tcW w:w="1096" w:type="dxa"/>
            <w:tcBorders>
              <w:top w:val="nil"/>
              <w:left w:val="nil"/>
              <w:bottom w:val="nil"/>
              <w:right w:val="nil"/>
            </w:tcBorders>
            <w:shd w:val="clear" w:color="auto" w:fill="auto"/>
            <w:noWrap/>
            <w:vAlign w:val="bottom"/>
            <w:hideMark/>
          </w:tcPr>
          <w:p w14:paraId="63C2493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-0.284</w:t>
            </w:r>
          </w:p>
        </w:tc>
        <w:tc>
          <w:tcPr>
            <w:tcW w:w="941" w:type="dxa"/>
            <w:tcBorders>
              <w:top w:val="nil"/>
              <w:left w:val="nil"/>
              <w:bottom w:val="nil"/>
              <w:right w:val="nil"/>
            </w:tcBorders>
            <w:shd w:val="clear" w:color="auto" w:fill="auto"/>
            <w:noWrap/>
            <w:vAlign w:val="bottom"/>
            <w:hideMark/>
          </w:tcPr>
          <w:p w14:paraId="2F802D9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-0.300</w:t>
            </w:r>
          </w:p>
        </w:tc>
        <w:tc>
          <w:tcPr>
            <w:tcW w:w="888" w:type="dxa"/>
            <w:tcBorders>
              <w:top w:val="nil"/>
              <w:left w:val="nil"/>
              <w:bottom w:val="nil"/>
              <w:right w:val="nil"/>
            </w:tcBorders>
            <w:shd w:val="clear" w:color="auto" w:fill="auto"/>
            <w:noWrap/>
            <w:vAlign w:val="bottom"/>
            <w:hideMark/>
          </w:tcPr>
          <w:p w14:paraId="63617C1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-0.377</w:t>
            </w:r>
          </w:p>
        </w:tc>
        <w:tc>
          <w:tcPr>
            <w:tcW w:w="888" w:type="dxa"/>
            <w:tcBorders>
              <w:top w:val="nil"/>
              <w:left w:val="nil"/>
              <w:bottom w:val="nil"/>
              <w:right w:val="nil"/>
            </w:tcBorders>
            <w:shd w:val="clear" w:color="auto" w:fill="auto"/>
            <w:noWrap/>
            <w:vAlign w:val="bottom"/>
            <w:hideMark/>
          </w:tcPr>
          <w:p w14:paraId="2DE2DC8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-0.351</w:t>
            </w:r>
          </w:p>
        </w:tc>
        <w:tc>
          <w:tcPr>
            <w:tcW w:w="888" w:type="dxa"/>
            <w:tcBorders>
              <w:top w:val="nil"/>
              <w:left w:val="nil"/>
              <w:bottom w:val="nil"/>
              <w:right w:val="nil"/>
            </w:tcBorders>
            <w:shd w:val="clear" w:color="auto" w:fill="auto"/>
            <w:noWrap/>
            <w:vAlign w:val="bottom"/>
            <w:hideMark/>
          </w:tcPr>
          <w:p w14:paraId="7332A37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-0.364</w:t>
            </w:r>
          </w:p>
        </w:tc>
      </w:tr>
      <w:tr w:rsidR="00E06124" w:rsidRPr="00512434" w14:paraId="2D66A7BA"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A274AB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096" w:type="dxa"/>
            <w:tcBorders>
              <w:top w:val="nil"/>
              <w:left w:val="nil"/>
              <w:bottom w:val="nil"/>
              <w:right w:val="nil"/>
            </w:tcBorders>
            <w:shd w:val="clear" w:color="auto" w:fill="auto"/>
            <w:noWrap/>
            <w:vAlign w:val="bottom"/>
            <w:hideMark/>
          </w:tcPr>
          <w:p w14:paraId="306B031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(0.541)</w:t>
            </w:r>
          </w:p>
        </w:tc>
        <w:tc>
          <w:tcPr>
            <w:tcW w:w="941" w:type="dxa"/>
            <w:tcBorders>
              <w:top w:val="nil"/>
              <w:left w:val="nil"/>
              <w:bottom w:val="nil"/>
              <w:right w:val="nil"/>
            </w:tcBorders>
            <w:shd w:val="clear" w:color="auto" w:fill="auto"/>
            <w:noWrap/>
            <w:vAlign w:val="bottom"/>
            <w:hideMark/>
          </w:tcPr>
          <w:p w14:paraId="146329D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(0.460)</w:t>
            </w:r>
          </w:p>
        </w:tc>
        <w:tc>
          <w:tcPr>
            <w:tcW w:w="888" w:type="dxa"/>
            <w:tcBorders>
              <w:top w:val="nil"/>
              <w:left w:val="nil"/>
              <w:bottom w:val="nil"/>
              <w:right w:val="nil"/>
            </w:tcBorders>
            <w:shd w:val="clear" w:color="auto" w:fill="auto"/>
            <w:noWrap/>
            <w:vAlign w:val="bottom"/>
            <w:hideMark/>
          </w:tcPr>
          <w:p w14:paraId="3B488FF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(0.468)</w:t>
            </w:r>
          </w:p>
        </w:tc>
        <w:tc>
          <w:tcPr>
            <w:tcW w:w="888" w:type="dxa"/>
            <w:tcBorders>
              <w:top w:val="nil"/>
              <w:left w:val="nil"/>
              <w:bottom w:val="nil"/>
              <w:right w:val="nil"/>
            </w:tcBorders>
            <w:shd w:val="clear" w:color="auto" w:fill="auto"/>
            <w:noWrap/>
            <w:vAlign w:val="bottom"/>
            <w:hideMark/>
          </w:tcPr>
          <w:p w14:paraId="69C8E54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(0.610)</w:t>
            </w:r>
          </w:p>
        </w:tc>
        <w:tc>
          <w:tcPr>
            <w:tcW w:w="888" w:type="dxa"/>
            <w:tcBorders>
              <w:top w:val="nil"/>
              <w:left w:val="nil"/>
              <w:bottom w:val="nil"/>
              <w:right w:val="nil"/>
            </w:tcBorders>
            <w:shd w:val="clear" w:color="auto" w:fill="auto"/>
            <w:noWrap/>
            <w:vAlign w:val="bottom"/>
            <w:hideMark/>
          </w:tcPr>
          <w:p w14:paraId="5B10C51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(0.571)</w:t>
            </w:r>
          </w:p>
        </w:tc>
      </w:tr>
      <w:tr w:rsidR="00E06124" w:rsidRPr="00512434" w14:paraId="281093A8"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63D5B4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fa*2013</w:t>
            </w:r>
          </w:p>
        </w:tc>
        <w:tc>
          <w:tcPr>
            <w:tcW w:w="1096" w:type="dxa"/>
            <w:tcBorders>
              <w:top w:val="nil"/>
              <w:left w:val="nil"/>
              <w:bottom w:val="nil"/>
              <w:right w:val="nil"/>
            </w:tcBorders>
            <w:shd w:val="clear" w:color="auto" w:fill="auto"/>
            <w:noWrap/>
            <w:vAlign w:val="bottom"/>
            <w:hideMark/>
          </w:tcPr>
          <w:p w14:paraId="0AE3319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941" w:type="dxa"/>
            <w:tcBorders>
              <w:top w:val="nil"/>
              <w:left w:val="nil"/>
              <w:bottom w:val="nil"/>
              <w:right w:val="nil"/>
            </w:tcBorders>
            <w:shd w:val="clear" w:color="auto" w:fill="auto"/>
            <w:noWrap/>
            <w:vAlign w:val="bottom"/>
            <w:hideMark/>
          </w:tcPr>
          <w:p w14:paraId="48F271A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17FF00E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2CD2E46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c>
          <w:tcPr>
            <w:tcW w:w="888" w:type="dxa"/>
            <w:tcBorders>
              <w:top w:val="nil"/>
              <w:left w:val="nil"/>
              <w:bottom w:val="nil"/>
              <w:right w:val="nil"/>
            </w:tcBorders>
            <w:shd w:val="clear" w:color="auto" w:fill="auto"/>
            <w:noWrap/>
            <w:vAlign w:val="bottom"/>
            <w:hideMark/>
          </w:tcPr>
          <w:p w14:paraId="319123A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0.000</w:t>
            </w:r>
          </w:p>
        </w:tc>
      </w:tr>
      <w:tr w:rsidR="00E06124" w:rsidRPr="00512434" w14:paraId="4BC83340"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1EFD686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096" w:type="dxa"/>
            <w:tcBorders>
              <w:top w:val="nil"/>
              <w:left w:val="nil"/>
              <w:bottom w:val="nil"/>
              <w:right w:val="nil"/>
            </w:tcBorders>
            <w:shd w:val="clear" w:color="auto" w:fill="auto"/>
            <w:noWrap/>
            <w:vAlign w:val="bottom"/>
            <w:hideMark/>
          </w:tcPr>
          <w:p w14:paraId="7A9AFF1F"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941" w:type="dxa"/>
            <w:tcBorders>
              <w:top w:val="nil"/>
              <w:left w:val="nil"/>
              <w:bottom w:val="nil"/>
              <w:right w:val="nil"/>
            </w:tcBorders>
            <w:shd w:val="clear" w:color="auto" w:fill="auto"/>
            <w:noWrap/>
            <w:vAlign w:val="bottom"/>
            <w:hideMark/>
          </w:tcPr>
          <w:p w14:paraId="273A41F2"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888" w:type="dxa"/>
            <w:tcBorders>
              <w:top w:val="nil"/>
              <w:left w:val="nil"/>
              <w:bottom w:val="nil"/>
              <w:right w:val="nil"/>
            </w:tcBorders>
            <w:shd w:val="clear" w:color="auto" w:fill="auto"/>
            <w:noWrap/>
            <w:vAlign w:val="bottom"/>
            <w:hideMark/>
          </w:tcPr>
          <w:p w14:paraId="0100BA28"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888" w:type="dxa"/>
            <w:tcBorders>
              <w:top w:val="nil"/>
              <w:left w:val="nil"/>
              <w:bottom w:val="nil"/>
              <w:right w:val="nil"/>
            </w:tcBorders>
            <w:shd w:val="clear" w:color="auto" w:fill="auto"/>
            <w:noWrap/>
            <w:vAlign w:val="bottom"/>
            <w:hideMark/>
          </w:tcPr>
          <w:p w14:paraId="13F250D3" w14:textId="77777777" w:rsidR="00E06124" w:rsidRPr="00512434" w:rsidRDefault="00E06124" w:rsidP="00512434">
            <w:pPr>
              <w:jc w:val="center"/>
              <w:rPr>
                <w:rFonts w:asciiTheme="majorHAnsi" w:eastAsia="Times New Roman" w:hAnsiTheme="majorHAnsi" w:cstheme="majorHAnsi"/>
                <w:sz w:val="16"/>
                <w:szCs w:val="16"/>
                <w:lang w:eastAsia="en-GB"/>
              </w:rPr>
            </w:pPr>
          </w:p>
        </w:tc>
        <w:tc>
          <w:tcPr>
            <w:tcW w:w="888" w:type="dxa"/>
            <w:tcBorders>
              <w:top w:val="nil"/>
              <w:left w:val="nil"/>
              <w:bottom w:val="nil"/>
              <w:right w:val="nil"/>
            </w:tcBorders>
            <w:shd w:val="clear" w:color="auto" w:fill="auto"/>
            <w:noWrap/>
            <w:vAlign w:val="bottom"/>
            <w:hideMark/>
          </w:tcPr>
          <w:p w14:paraId="52135C49" w14:textId="77777777" w:rsidR="00E06124" w:rsidRPr="00512434" w:rsidRDefault="00E06124" w:rsidP="00512434">
            <w:pPr>
              <w:jc w:val="center"/>
              <w:rPr>
                <w:rFonts w:asciiTheme="majorHAnsi" w:eastAsia="Times New Roman" w:hAnsiTheme="majorHAnsi" w:cstheme="majorHAnsi"/>
                <w:sz w:val="16"/>
                <w:szCs w:val="16"/>
                <w:lang w:eastAsia="en-GB"/>
              </w:rPr>
            </w:pPr>
          </w:p>
        </w:tc>
      </w:tr>
      <w:tr w:rsidR="00E06124" w:rsidRPr="00512434" w14:paraId="1B8E1E92"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A62EE6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fa*2014</w:t>
            </w:r>
          </w:p>
        </w:tc>
        <w:tc>
          <w:tcPr>
            <w:tcW w:w="1096" w:type="dxa"/>
            <w:tcBorders>
              <w:top w:val="nil"/>
              <w:left w:val="nil"/>
              <w:bottom w:val="nil"/>
              <w:right w:val="nil"/>
            </w:tcBorders>
            <w:shd w:val="clear" w:color="auto" w:fill="auto"/>
            <w:noWrap/>
            <w:vAlign w:val="bottom"/>
            <w:hideMark/>
          </w:tcPr>
          <w:p w14:paraId="20618CB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0.126</w:t>
            </w:r>
          </w:p>
        </w:tc>
        <w:tc>
          <w:tcPr>
            <w:tcW w:w="941" w:type="dxa"/>
            <w:tcBorders>
              <w:top w:val="nil"/>
              <w:left w:val="nil"/>
              <w:bottom w:val="nil"/>
              <w:right w:val="nil"/>
            </w:tcBorders>
            <w:shd w:val="clear" w:color="auto" w:fill="auto"/>
            <w:noWrap/>
            <w:vAlign w:val="bottom"/>
            <w:hideMark/>
          </w:tcPr>
          <w:p w14:paraId="595FF60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-0.177</w:t>
            </w:r>
          </w:p>
        </w:tc>
        <w:tc>
          <w:tcPr>
            <w:tcW w:w="888" w:type="dxa"/>
            <w:tcBorders>
              <w:top w:val="nil"/>
              <w:left w:val="nil"/>
              <w:bottom w:val="nil"/>
              <w:right w:val="nil"/>
            </w:tcBorders>
            <w:shd w:val="clear" w:color="auto" w:fill="auto"/>
            <w:noWrap/>
            <w:vAlign w:val="bottom"/>
            <w:hideMark/>
          </w:tcPr>
          <w:p w14:paraId="516EA1E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-0.232</w:t>
            </w:r>
          </w:p>
        </w:tc>
        <w:tc>
          <w:tcPr>
            <w:tcW w:w="888" w:type="dxa"/>
            <w:tcBorders>
              <w:top w:val="nil"/>
              <w:left w:val="nil"/>
              <w:bottom w:val="nil"/>
              <w:right w:val="nil"/>
            </w:tcBorders>
            <w:shd w:val="clear" w:color="auto" w:fill="auto"/>
            <w:noWrap/>
            <w:vAlign w:val="bottom"/>
            <w:hideMark/>
          </w:tcPr>
          <w:p w14:paraId="1C4593E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0.011</w:t>
            </w:r>
          </w:p>
        </w:tc>
        <w:tc>
          <w:tcPr>
            <w:tcW w:w="888" w:type="dxa"/>
            <w:tcBorders>
              <w:top w:val="nil"/>
              <w:left w:val="nil"/>
              <w:bottom w:val="nil"/>
              <w:right w:val="nil"/>
            </w:tcBorders>
            <w:shd w:val="clear" w:color="auto" w:fill="auto"/>
            <w:noWrap/>
            <w:vAlign w:val="bottom"/>
            <w:hideMark/>
          </w:tcPr>
          <w:p w14:paraId="3446CF5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0.006</w:t>
            </w:r>
          </w:p>
        </w:tc>
      </w:tr>
      <w:tr w:rsidR="00E06124" w:rsidRPr="00512434" w14:paraId="304844B3"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6377D3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096" w:type="dxa"/>
            <w:tcBorders>
              <w:top w:val="nil"/>
              <w:left w:val="nil"/>
              <w:bottom w:val="nil"/>
              <w:right w:val="nil"/>
            </w:tcBorders>
            <w:shd w:val="clear" w:color="auto" w:fill="auto"/>
            <w:noWrap/>
            <w:vAlign w:val="bottom"/>
            <w:hideMark/>
          </w:tcPr>
          <w:p w14:paraId="09CB66F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(0.279)</w:t>
            </w:r>
          </w:p>
        </w:tc>
        <w:tc>
          <w:tcPr>
            <w:tcW w:w="941" w:type="dxa"/>
            <w:tcBorders>
              <w:top w:val="nil"/>
              <w:left w:val="nil"/>
              <w:bottom w:val="nil"/>
              <w:right w:val="nil"/>
            </w:tcBorders>
            <w:shd w:val="clear" w:color="auto" w:fill="auto"/>
            <w:noWrap/>
            <w:vAlign w:val="bottom"/>
            <w:hideMark/>
          </w:tcPr>
          <w:p w14:paraId="5B3A169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(0.268)</w:t>
            </w:r>
          </w:p>
        </w:tc>
        <w:tc>
          <w:tcPr>
            <w:tcW w:w="888" w:type="dxa"/>
            <w:tcBorders>
              <w:top w:val="nil"/>
              <w:left w:val="nil"/>
              <w:bottom w:val="nil"/>
              <w:right w:val="nil"/>
            </w:tcBorders>
            <w:shd w:val="clear" w:color="auto" w:fill="auto"/>
            <w:noWrap/>
            <w:vAlign w:val="bottom"/>
            <w:hideMark/>
          </w:tcPr>
          <w:p w14:paraId="5E81077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(0.290)</w:t>
            </w:r>
          </w:p>
        </w:tc>
        <w:tc>
          <w:tcPr>
            <w:tcW w:w="888" w:type="dxa"/>
            <w:tcBorders>
              <w:top w:val="nil"/>
              <w:left w:val="nil"/>
              <w:bottom w:val="nil"/>
              <w:right w:val="nil"/>
            </w:tcBorders>
            <w:shd w:val="clear" w:color="auto" w:fill="auto"/>
            <w:noWrap/>
            <w:vAlign w:val="bottom"/>
            <w:hideMark/>
          </w:tcPr>
          <w:p w14:paraId="1708B9C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(0.304)</w:t>
            </w:r>
          </w:p>
        </w:tc>
        <w:tc>
          <w:tcPr>
            <w:tcW w:w="888" w:type="dxa"/>
            <w:tcBorders>
              <w:top w:val="nil"/>
              <w:left w:val="nil"/>
              <w:bottom w:val="nil"/>
              <w:right w:val="nil"/>
            </w:tcBorders>
            <w:shd w:val="clear" w:color="auto" w:fill="auto"/>
            <w:noWrap/>
            <w:vAlign w:val="bottom"/>
            <w:hideMark/>
          </w:tcPr>
          <w:p w14:paraId="44CAB9D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(0.295)</w:t>
            </w:r>
          </w:p>
        </w:tc>
      </w:tr>
      <w:tr w:rsidR="00E06124" w:rsidRPr="00512434" w14:paraId="0CEC6991"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5F80477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fa*2015</w:t>
            </w:r>
          </w:p>
        </w:tc>
        <w:tc>
          <w:tcPr>
            <w:tcW w:w="1096" w:type="dxa"/>
            <w:tcBorders>
              <w:top w:val="nil"/>
              <w:left w:val="nil"/>
              <w:bottom w:val="nil"/>
              <w:right w:val="nil"/>
            </w:tcBorders>
            <w:shd w:val="clear" w:color="auto" w:fill="auto"/>
            <w:noWrap/>
            <w:vAlign w:val="bottom"/>
            <w:hideMark/>
          </w:tcPr>
          <w:p w14:paraId="5742822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0.155</w:t>
            </w:r>
          </w:p>
        </w:tc>
        <w:tc>
          <w:tcPr>
            <w:tcW w:w="941" w:type="dxa"/>
            <w:tcBorders>
              <w:top w:val="nil"/>
              <w:left w:val="nil"/>
              <w:bottom w:val="nil"/>
              <w:right w:val="nil"/>
            </w:tcBorders>
            <w:shd w:val="clear" w:color="auto" w:fill="auto"/>
            <w:noWrap/>
            <w:vAlign w:val="bottom"/>
            <w:hideMark/>
          </w:tcPr>
          <w:p w14:paraId="2D88483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-0.416</w:t>
            </w:r>
          </w:p>
        </w:tc>
        <w:tc>
          <w:tcPr>
            <w:tcW w:w="888" w:type="dxa"/>
            <w:tcBorders>
              <w:top w:val="nil"/>
              <w:left w:val="nil"/>
              <w:bottom w:val="nil"/>
              <w:right w:val="nil"/>
            </w:tcBorders>
            <w:shd w:val="clear" w:color="auto" w:fill="auto"/>
            <w:noWrap/>
            <w:vAlign w:val="bottom"/>
            <w:hideMark/>
          </w:tcPr>
          <w:p w14:paraId="60485B3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-0.184</w:t>
            </w:r>
          </w:p>
        </w:tc>
        <w:tc>
          <w:tcPr>
            <w:tcW w:w="888" w:type="dxa"/>
            <w:tcBorders>
              <w:top w:val="nil"/>
              <w:left w:val="nil"/>
              <w:bottom w:val="nil"/>
              <w:right w:val="nil"/>
            </w:tcBorders>
            <w:shd w:val="clear" w:color="auto" w:fill="auto"/>
            <w:noWrap/>
            <w:vAlign w:val="bottom"/>
            <w:hideMark/>
          </w:tcPr>
          <w:p w14:paraId="52DF83D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0.289</w:t>
            </w:r>
          </w:p>
        </w:tc>
        <w:tc>
          <w:tcPr>
            <w:tcW w:w="888" w:type="dxa"/>
            <w:tcBorders>
              <w:top w:val="nil"/>
              <w:left w:val="nil"/>
              <w:bottom w:val="nil"/>
              <w:right w:val="nil"/>
            </w:tcBorders>
            <w:shd w:val="clear" w:color="auto" w:fill="auto"/>
            <w:noWrap/>
            <w:vAlign w:val="bottom"/>
            <w:hideMark/>
          </w:tcPr>
          <w:p w14:paraId="63D2113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0.137</w:t>
            </w:r>
          </w:p>
        </w:tc>
      </w:tr>
      <w:tr w:rsidR="00E06124" w:rsidRPr="00512434" w14:paraId="1EB5BB33"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649AA4A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096" w:type="dxa"/>
            <w:tcBorders>
              <w:top w:val="nil"/>
              <w:left w:val="nil"/>
              <w:bottom w:val="nil"/>
              <w:right w:val="nil"/>
            </w:tcBorders>
            <w:shd w:val="clear" w:color="auto" w:fill="auto"/>
            <w:noWrap/>
            <w:vAlign w:val="bottom"/>
            <w:hideMark/>
          </w:tcPr>
          <w:p w14:paraId="1BACB29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(0.282)</w:t>
            </w:r>
          </w:p>
        </w:tc>
        <w:tc>
          <w:tcPr>
            <w:tcW w:w="941" w:type="dxa"/>
            <w:tcBorders>
              <w:top w:val="nil"/>
              <w:left w:val="nil"/>
              <w:bottom w:val="nil"/>
              <w:right w:val="nil"/>
            </w:tcBorders>
            <w:shd w:val="clear" w:color="auto" w:fill="auto"/>
            <w:noWrap/>
            <w:vAlign w:val="bottom"/>
            <w:hideMark/>
          </w:tcPr>
          <w:p w14:paraId="4B4BABE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(0.281)</w:t>
            </w:r>
          </w:p>
        </w:tc>
        <w:tc>
          <w:tcPr>
            <w:tcW w:w="888" w:type="dxa"/>
            <w:tcBorders>
              <w:top w:val="nil"/>
              <w:left w:val="nil"/>
              <w:bottom w:val="nil"/>
              <w:right w:val="nil"/>
            </w:tcBorders>
            <w:shd w:val="clear" w:color="auto" w:fill="auto"/>
            <w:noWrap/>
            <w:vAlign w:val="bottom"/>
            <w:hideMark/>
          </w:tcPr>
          <w:p w14:paraId="310EE2CF"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(0.303)</w:t>
            </w:r>
          </w:p>
        </w:tc>
        <w:tc>
          <w:tcPr>
            <w:tcW w:w="888" w:type="dxa"/>
            <w:tcBorders>
              <w:top w:val="nil"/>
              <w:left w:val="nil"/>
              <w:bottom w:val="nil"/>
              <w:right w:val="nil"/>
            </w:tcBorders>
            <w:shd w:val="clear" w:color="auto" w:fill="auto"/>
            <w:noWrap/>
            <w:vAlign w:val="bottom"/>
            <w:hideMark/>
          </w:tcPr>
          <w:p w14:paraId="231FFEE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(0.311)</w:t>
            </w:r>
          </w:p>
        </w:tc>
        <w:tc>
          <w:tcPr>
            <w:tcW w:w="888" w:type="dxa"/>
            <w:tcBorders>
              <w:top w:val="nil"/>
              <w:left w:val="nil"/>
              <w:bottom w:val="nil"/>
              <w:right w:val="nil"/>
            </w:tcBorders>
            <w:shd w:val="clear" w:color="auto" w:fill="auto"/>
            <w:noWrap/>
            <w:vAlign w:val="bottom"/>
            <w:hideMark/>
          </w:tcPr>
          <w:p w14:paraId="1D81FC3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(0.300)</w:t>
            </w:r>
          </w:p>
        </w:tc>
      </w:tr>
      <w:tr w:rsidR="00E06124" w:rsidRPr="00512434" w14:paraId="7284EB61"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3CDB589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fa*2016</w:t>
            </w:r>
          </w:p>
        </w:tc>
        <w:tc>
          <w:tcPr>
            <w:tcW w:w="1096" w:type="dxa"/>
            <w:tcBorders>
              <w:top w:val="nil"/>
              <w:left w:val="nil"/>
              <w:bottom w:val="nil"/>
              <w:right w:val="nil"/>
            </w:tcBorders>
            <w:shd w:val="clear" w:color="auto" w:fill="auto"/>
            <w:noWrap/>
            <w:vAlign w:val="bottom"/>
            <w:hideMark/>
          </w:tcPr>
          <w:p w14:paraId="45E344A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0.303</w:t>
            </w:r>
          </w:p>
        </w:tc>
        <w:tc>
          <w:tcPr>
            <w:tcW w:w="941" w:type="dxa"/>
            <w:tcBorders>
              <w:top w:val="nil"/>
              <w:left w:val="nil"/>
              <w:bottom w:val="nil"/>
              <w:right w:val="nil"/>
            </w:tcBorders>
            <w:shd w:val="clear" w:color="auto" w:fill="auto"/>
            <w:noWrap/>
            <w:vAlign w:val="bottom"/>
            <w:hideMark/>
          </w:tcPr>
          <w:p w14:paraId="3ACD3DF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-0.338</w:t>
            </w:r>
          </w:p>
        </w:tc>
        <w:tc>
          <w:tcPr>
            <w:tcW w:w="888" w:type="dxa"/>
            <w:tcBorders>
              <w:top w:val="nil"/>
              <w:left w:val="nil"/>
              <w:bottom w:val="nil"/>
              <w:right w:val="nil"/>
            </w:tcBorders>
            <w:shd w:val="clear" w:color="auto" w:fill="auto"/>
            <w:noWrap/>
            <w:vAlign w:val="bottom"/>
            <w:hideMark/>
          </w:tcPr>
          <w:p w14:paraId="6ECF0644"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-0.079</w:t>
            </w:r>
          </w:p>
        </w:tc>
        <w:tc>
          <w:tcPr>
            <w:tcW w:w="888" w:type="dxa"/>
            <w:tcBorders>
              <w:top w:val="nil"/>
              <w:left w:val="nil"/>
              <w:bottom w:val="nil"/>
              <w:right w:val="nil"/>
            </w:tcBorders>
            <w:shd w:val="clear" w:color="auto" w:fill="auto"/>
            <w:noWrap/>
            <w:vAlign w:val="bottom"/>
            <w:hideMark/>
          </w:tcPr>
          <w:p w14:paraId="1730613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0.472</w:t>
            </w:r>
          </w:p>
        </w:tc>
        <w:tc>
          <w:tcPr>
            <w:tcW w:w="888" w:type="dxa"/>
            <w:tcBorders>
              <w:top w:val="nil"/>
              <w:left w:val="nil"/>
              <w:bottom w:val="nil"/>
              <w:right w:val="nil"/>
            </w:tcBorders>
            <w:shd w:val="clear" w:color="auto" w:fill="auto"/>
            <w:noWrap/>
            <w:vAlign w:val="bottom"/>
            <w:hideMark/>
          </w:tcPr>
          <w:p w14:paraId="360ED81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0.229</w:t>
            </w:r>
          </w:p>
        </w:tc>
      </w:tr>
      <w:tr w:rsidR="00E06124" w:rsidRPr="00512434" w14:paraId="7A6D1490"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7046E03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096" w:type="dxa"/>
            <w:tcBorders>
              <w:top w:val="nil"/>
              <w:left w:val="nil"/>
              <w:bottom w:val="nil"/>
              <w:right w:val="nil"/>
            </w:tcBorders>
            <w:shd w:val="clear" w:color="auto" w:fill="auto"/>
            <w:noWrap/>
            <w:vAlign w:val="bottom"/>
            <w:hideMark/>
          </w:tcPr>
          <w:p w14:paraId="6A13D70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(0.289)</w:t>
            </w:r>
          </w:p>
        </w:tc>
        <w:tc>
          <w:tcPr>
            <w:tcW w:w="941" w:type="dxa"/>
            <w:tcBorders>
              <w:top w:val="nil"/>
              <w:left w:val="nil"/>
              <w:bottom w:val="nil"/>
              <w:right w:val="nil"/>
            </w:tcBorders>
            <w:shd w:val="clear" w:color="auto" w:fill="auto"/>
            <w:noWrap/>
            <w:vAlign w:val="bottom"/>
            <w:hideMark/>
          </w:tcPr>
          <w:p w14:paraId="162CDA9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(0.285)</w:t>
            </w:r>
          </w:p>
        </w:tc>
        <w:tc>
          <w:tcPr>
            <w:tcW w:w="888" w:type="dxa"/>
            <w:tcBorders>
              <w:top w:val="nil"/>
              <w:left w:val="nil"/>
              <w:bottom w:val="nil"/>
              <w:right w:val="nil"/>
            </w:tcBorders>
            <w:shd w:val="clear" w:color="auto" w:fill="auto"/>
            <w:noWrap/>
            <w:vAlign w:val="bottom"/>
            <w:hideMark/>
          </w:tcPr>
          <w:p w14:paraId="51C9E14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(0.316)</w:t>
            </w:r>
          </w:p>
        </w:tc>
        <w:tc>
          <w:tcPr>
            <w:tcW w:w="888" w:type="dxa"/>
            <w:tcBorders>
              <w:top w:val="nil"/>
              <w:left w:val="nil"/>
              <w:bottom w:val="nil"/>
              <w:right w:val="nil"/>
            </w:tcBorders>
            <w:shd w:val="clear" w:color="auto" w:fill="auto"/>
            <w:noWrap/>
            <w:vAlign w:val="bottom"/>
            <w:hideMark/>
          </w:tcPr>
          <w:p w14:paraId="48D3B97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(0.319)</w:t>
            </w:r>
          </w:p>
        </w:tc>
        <w:tc>
          <w:tcPr>
            <w:tcW w:w="888" w:type="dxa"/>
            <w:tcBorders>
              <w:top w:val="nil"/>
              <w:left w:val="nil"/>
              <w:bottom w:val="nil"/>
              <w:right w:val="nil"/>
            </w:tcBorders>
            <w:shd w:val="clear" w:color="auto" w:fill="auto"/>
            <w:noWrap/>
            <w:vAlign w:val="bottom"/>
            <w:hideMark/>
          </w:tcPr>
          <w:p w14:paraId="7D7E897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(0.304)</w:t>
            </w:r>
          </w:p>
        </w:tc>
      </w:tr>
      <w:tr w:rsidR="00E06124" w:rsidRPr="00512434" w14:paraId="06918F20" w14:textId="77777777" w:rsidTr="00512434">
        <w:trPr>
          <w:trHeight w:val="266"/>
          <w:jc w:val="center"/>
        </w:trPr>
        <w:tc>
          <w:tcPr>
            <w:tcW w:w="1314" w:type="dxa"/>
            <w:tcBorders>
              <w:top w:val="nil"/>
              <w:left w:val="nil"/>
              <w:bottom w:val="nil"/>
              <w:right w:val="nil"/>
            </w:tcBorders>
            <w:shd w:val="clear" w:color="auto" w:fill="auto"/>
            <w:noWrap/>
            <w:vAlign w:val="bottom"/>
            <w:hideMark/>
          </w:tcPr>
          <w:p w14:paraId="45BAD34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fa*2017</w:t>
            </w:r>
          </w:p>
        </w:tc>
        <w:tc>
          <w:tcPr>
            <w:tcW w:w="1096" w:type="dxa"/>
            <w:tcBorders>
              <w:top w:val="nil"/>
              <w:left w:val="nil"/>
              <w:bottom w:val="nil"/>
              <w:right w:val="nil"/>
            </w:tcBorders>
            <w:shd w:val="clear" w:color="auto" w:fill="auto"/>
            <w:noWrap/>
            <w:vAlign w:val="bottom"/>
            <w:hideMark/>
          </w:tcPr>
          <w:p w14:paraId="2B47DAC1"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0.481</w:t>
            </w:r>
          </w:p>
        </w:tc>
        <w:tc>
          <w:tcPr>
            <w:tcW w:w="941" w:type="dxa"/>
            <w:tcBorders>
              <w:top w:val="nil"/>
              <w:left w:val="nil"/>
              <w:bottom w:val="nil"/>
              <w:right w:val="nil"/>
            </w:tcBorders>
            <w:shd w:val="clear" w:color="auto" w:fill="auto"/>
            <w:noWrap/>
            <w:vAlign w:val="bottom"/>
            <w:hideMark/>
          </w:tcPr>
          <w:p w14:paraId="7E9FEC0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-0.316</w:t>
            </w:r>
          </w:p>
        </w:tc>
        <w:tc>
          <w:tcPr>
            <w:tcW w:w="888" w:type="dxa"/>
            <w:tcBorders>
              <w:top w:val="nil"/>
              <w:left w:val="nil"/>
              <w:bottom w:val="nil"/>
              <w:right w:val="nil"/>
            </w:tcBorders>
            <w:shd w:val="clear" w:color="auto" w:fill="auto"/>
            <w:noWrap/>
            <w:vAlign w:val="bottom"/>
            <w:hideMark/>
          </w:tcPr>
          <w:p w14:paraId="582F11E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0.088</w:t>
            </w:r>
          </w:p>
        </w:tc>
        <w:tc>
          <w:tcPr>
            <w:tcW w:w="888" w:type="dxa"/>
            <w:tcBorders>
              <w:top w:val="nil"/>
              <w:left w:val="nil"/>
              <w:bottom w:val="nil"/>
              <w:right w:val="nil"/>
            </w:tcBorders>
            <w:shd w:val="clear" w:color="auto" w:fill="auto"/>
            <w:noWrap/>
            <w:vAlign w:val="bottom"/>
            <w:hideMark/>
          </w:tcPr>
          <w:p w14:paraId="20CD9AE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0.588*</w:t>
            </w:r>
          </w:p>
        </w:tc>
        <w:tc>
          <w:tcPr>
            <w:tcW w:w="888" w:type="dxa"/>
            <w:tcBorders>
              <w:top w:val="nil"/>
              <w:left w:val="nil"/>
              <w:bottom w:val="nil"/>
              <w:right w:val="nil"/>
            </w:tcBorders>
            <w:shd w:val="clear" w:color="auto" w:fill="auto"/>
            <w:noWrap/>
            <w:vAlign w:val="bottom"/>
            <w:hideMark/>
          </w:tcPr>
          <w:p w14:paraId="0ABCC300"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0.248</w:t>
            </w:r>
          </w:p>
        </w:tc>
      </w:tr>
      <w:tr w:rsidR="00E06124" w:rsidRPr="00512434" w14:paraId="426810B9" w14:textId="77777777" w:rsidTr="00512434">
        <w:trPr>
          <w:trHeight w:val="266"/>
          <w:jc w:val="center"/>
        </w:trPr>
        <w:tc>
          <w:tcPr>
            <w:tcW w:w="1314" w:type="dxa"/>
            <w:tcBorders>
              <w:top w:val="nil"/>
              <w:left w:val="nil"/>
              <w:bottom w:val="single" w:sz="4" w:space="0" w:color="auto"/>
              <w:right w:val="nil"/>
            </w:tcBorders>
            <w:shd w:val="clear" w:color="auto" w:fill="auto"/>
            <w:noWrap/>
            <w:vAlign w:val="bottom"/>
            <w:hideMark/>
          </w:tcPr>
          <w:p w14:paraId="192C73FA"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p>
        </w:tc>
        <w:tc>
          <w:tcPr>
            <w:tcW w:w="1096" w:type="dxa"/>
            <w:tcBorders>
              <w:top w:val="nil"/>
              <w:left w:val="nil"/>
              <w:bottom w:val="single" w:sz="4" w:space="0" w:color="auto"/>
              <w:right w:val="nil"/>
            </w:tcBorders>
            <w:shd w:val="clear" w:color="auto" w:fill="auto"/>
            <w:noWrap/>
            <w:vAlign w:val="bottom"/>
            <w:hideMark/>
          </w:tcPr>
          <w:p w14:paraId="5969FDE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(0.296)</w:t>
            </w:r>
          </w:p>
        </w:tc>
        <w:tc>
          <w:tcPr>
            <w:tcW w:w="941" w:type="dxa"/>
            <w:tcBorders>
              <w:top w:val="nil"/>
              <w:left w:val="nil"/>
              <w:bottom w:val="single" w:sz="4" w:space="0" w:color="auto"/>
              <w:right w:val="nil"/>
            </w:tcBorders>
            <w:shd w:val="clear" w:color="auto" w:fill="auto"/>
            <w:noWrap/>
            <w:vAlign w:val="bottom"/>
            <w:hideMark/>
          </w:tcPr>
          <w:p w14:paraId="523DAC8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(0.278)</w:t>
            </w:r>
          </w:p>
        </w:tc>
        <w:tc>
          <w:tcPr>
            <w:tcW w:w="888" w:type="dxa"/>
            <w:tcBorders>
              <w:top w:val="nil"/>
              <w:left w:val="nil"/>
              <w:bottom w:val="single" w:sz="4" w:space="0" w:color="auto"/>
              <w:right w:val="nil"/>
            </w:tcBorders>
            <w:shd w:val="clear" w:color="auto" w:fill="auto"/>
            <w:noWrap/>
            <w:vAlign w:val="bottom"/>
            <w:hideMark/>
          </w:tcPr>
          <w:p w14:paraId="23119B2E"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(0.308)</w:t>
            </w:r>
          </w:p>
        </w:tc>
        <w:tc>
          <w:tcPr>
            <w:tcW w:w="888" w:type="dxa"/>
            <w:tcBorders>
              <w:top w:val="nil"/>
              <w:left w:val="nil"/>
              <w:bottom w:val="single" w:sz="4" w:space="0" w:color="auto"/>
              <w:right w:val="nil"/>
            </w:tcBorders>
            <w:shd w:val="clear" w:color="auto" w:fill="auto"/>
            <w:noWrap/>
            <w:vAlign w:val="bottom"/>
            <w:hideMark/>
          </w:tcPr>
          <w:p w14:paraId="757AF425"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(0.312)</w:t>
            </w:r>
          </w:p>
        </w:tc>
        <w:tc>
          <w:tcPr>
            <w:tcW w:w="888" w:type="dxa"/>
            <w:tcBorders>
              <w:top w:val="nil"/>
              <w:left w:val="nil"/>
              <w:bottom w:val="single" w:sz="4" w:space="0" w:color="auto"/>
              <w:right w:val="nil"/>
            </w:tcBorders>
            <w:shd w:val="clear" w:color="auto" w:fill="auto"/>
            <w:noWrap/>
            <w:vAlign w:val="bottom"/>
            <w:hideMark/>
          </w:tcPr>
          <w:p w14:paraId="08F537B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(0.304)</w:t>
            </w:r>
          </w:p>
        </w:tc>
      </w:tr>
      <w:tr w:rsidR="00E06124" w:rsidRPr="00512434" w14:paraId="0E0E9249" w14:textId="77777777" w:rsidTr="00512434">
        <w:trPr>
          <w:trHeight w:val="266"/>
          <w:jc w:val="center"/>
        </w:trPr>
        <w:tc>
          <w:tcPr>
            <w:tcW w:w="1314" w:type="dxa"/>
            <w:tcBorders>
              <w:top w:val="single" w:sz="4" w:space="0" w:color="auto"/>
              <w:left w:val="nil"/>
              <w:bottom w:val="nil"/>
              <w:right w:val="nil"/>
            </w:tcBorders>
            <w:shd w:val="clear" w:color="auto" w:fill="auto"/>
            <w:noWrap/>
            <w:vAlign w:val="bottom"/>
            <w:hideMark/>
          </w:tcPr>
          <w:p w14:paraId="2D56527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Observations</w:t>
            </w:r>
          </w:p>
        </w:tc>
        <w:tc>
          <w:tcPr>
            <w:tcW w:w="1096" w:type="dxa"/>
            <w:tcBorders>
              <w:top w:val="single" w:sz="4" w:space="0" w:color="auto"/>
              <w:left w:val="nil"/>
              <w:bottom w:val="nil"/>
              <w:right w:val="nil"/>
            </w:tcBorders>
            <w:shd w:val="clear" w:color="auto" w:fill="auto"/>
            <w:noWrap/>
            <w:vAlign w:val="bottom"/>
            <w:hideMark/>
          </w:tcPr>
          <w:p w14:paraId="63A7519C"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3415</w:t>
            </w:r>
          </w:p>
        </w:tc>
        <w:tc>
          <w:tcPr>
            <w:tcW w:w="941" w:type="dxa"/>
            <w:tcBorders>
              <w:top w:val="single" w:sz="4" w:space="0" w:color="auto"/>
              <w:left w:val="nil"/>
              <w:bottom w:val="nil"/>
              <w:right w:val="nil"/>
            </w:tcBorders>
            <w:shd w:val="clear" w:color="auto" w:fill="auto"/>
            <w:noWrap/>
            <w:vAlign w:val="bottom"/>
            <w:hideMark/>
          </w:tcPr>
          <w:p w14:paraId="24F2C376"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10414E0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345B12F3"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3415</w:t>
            </w:r>
          </w:p>
        </w:tc>
        <w:tc>
          <w:tcPr>
            <w:tcW w:w="888" w:type="dxa"/>
            <w:tcBorders>
              <w:top w:val="single" w:sz="4" w:space="0" w:color="auto"/>
              <w:left w:val="nil"/>
              <w:bottom w:val="nil"/>
              <w:right w:val="nil"/>
            </w:tcBorders>
            <w:shd w:val="clear" w:color="auto" w:fill="auto"/>
            <w:noWrap/>
            <w:vAlign w:val="bottom"/>
            <w:hideMark/>
          </w:tcPr>
          <w:p w14:paraId="24F2B4CB"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3412</w:t>
            </w:r>
          </w:p>
        </w:tc>
      </w:tr>
      <w:tr w:rsidR="00E06124" w:rsidRPr="00512434" w14:paraId="286E5921" w14:textId="77777777" w:rsidTr="00512434">
        <w:trPr>
          <w:trHeight w:val="277"/>
          <w:jc w:val="center"/>
        </w:trPr>
        <w:tc>
          <w:tcPr>
            <w:tcW w:w="1314" w:type="dxa"/>
            <w:tcBorders>
              <w:top w:val="nil"/>
              <w:left w:val="nil"/>
              <w:bottom w:val="single" w:sz="4" w:space="0" w:color="auto"/>
              <w:right w:val="nil"/>
            </w:tcBorders>
            <w:shd w:val="clear" w:color="auto" w:fill="auto"/>
            <w:noWrap/>
            <w:vAlign w:val="bottom"/>
            <w:hideMark/>
          </w:tcPr>
          <w:p w14:paraId="600EB962"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R squared</w:t>
            </w:r>
          </w:p>
        </w:tc>
        <w:tc>
          <w:tcPr>
            <w:tcW w:w="1096" w:type="dxa"/>
            <w:tcBorders>
              <w:top w:val="nil"/>
              <w:left w:val="nil"/>
              <w:bottom w:val="single" w:sz="4" w:space="0" w:color="auto"/>
              <w:right w:val="nil"/>
            </w:tcBorders>
            <w:shd w:val="clear" w:color="auto" w:fill="auto"/>
            <w:noWrap/>
            <w:vAlign w:val="bottom"/>
            <w:hideMark/>
          </w:tcPr>
          <w:p w14:paraId="2FEACDA7"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0.19</w:t>
            </w:r>
          </w:p>
        </w:tc>
        <w:tc>
          <w:tcPr>
            <w:tcW w:w="941" w:type="dxa"/>
            <w:tcBorders>
              <w:top w:val="nil"/>
              <w:left w:val="nil"/>
              <w:bottom w:val="single" w:sz="4" w:space="0" w:color="auto"/>
              <w:right w:val="nil"/>
            </w:tcBorders>
            <w:shd w:val="clear" w:color="auto" w:fill="auto"/>
            <w:noWrap/>
            <w:vAlign w:val="bottom"/>
            <w:hideMark/>
          </w:tcPr>
          <w:p w14:paraId="5DE04C7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0.32</w:t>
            </w:r>
          </w:p>
        </w:tc>
        <w:tc>
          <w:tcPr>
            <w:tcW w:w="888" w:type="dxa"/>
            <w:tcBorders>
              <w:top w:val="nil"/>
              <w:left w:val="nil"/>
              <w:bottom w:val="single" w:sz="4" w:space="0" w:color="auto"/>
              <w:right w:val="nil"/>
            </w:tcBorders>
            <w:shd w:val="clear" w:color="auto" w:fill="auto"/>
            <w:noWrap/>
            <w:vAlign w:val="bottom"/>
            <w:hideMark/>
          </w:tcPr>
          <w:p w14:paraId="00E27868"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0.43</w:t>
            </w:r>
          </w:p>
        </w:tc>
        <w:tc>
          <w:tcPr>
            <w:tcW w:w="888" w:type="dxa"/>
            <w:tcBorders>
              <w:top w:val="nil"/>
              <w:left w:val="nil"/>
              <w:bottom w:val="single" w:sz="4" w:space="0" w:color="auto"/>
              <w:right w:val="nil"/>
            </w:tcBorders>
            <w:shd w:val="clear" w:color="auto" w:fill="auto"/>
            <w:noWrap/>
            <w:vAlign w:val="bottom"/>
            <w:hideMark/>
          </w:tcPr>
          <w:p w14:paraId="0B31D4F9"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0.25</w:t>
            </w:r>
          </w:p>
        </w:tc>
        <w:tc>
          <w:tcPr>
            <w:tcW w:w="888" w:type="dxa"/>
            <w:tcBorders>
              <w:top w:val="nil"/>
              <w:left w:val="nil"/>
              <w:bottom w:val="single" w:sz="4" w:space="0" w:color="auto"/>
              <w:right w:val="nil"/>
            </w:tcBorders>
            <w:shd w:val="clear" w:color="auto" w:fill="auto"/>
            <w:noWrap/>
            <w:vAlign w:val="bottom"/>
            <w:hideMark/>
          </w:tcPr>
          <w:p w14:paraId="11C407DD" w14:textId="77777777" w:rsidR="00E06124" w:rsidRPr="00512434" w:rsidRDefault="00E06124" w:rsidP="00512434">
            <w:pPr>
              <w:jc w:val="center"/>
              <w:rPr>
                <w:rFonts w:asciiTheme="majorHAnsi" w:eastAsia="Times New Roman" w:hAnsiTheme="majorHAnsi" w:cstheme="majorHAnsi"/>
                <w:color w:val="000000"/>
                <w:sz w:val="16"/>
                <w:szCs w:val="16"/>
                <w:lang w:eastAsia="en-GB"/>
              </w:rPr>
            </w:pPr>
            <w:r w:rsidRPr="00512434">
              <w:rPr>
                <w:rFonts w:asciiTheme="majorHAnsi" w:eastAsia="Times New Roman" w:hAnsiTheme="majorHAnsi" w:cstheme="majorHAnsi"/>
                <w:color w:val="000000"/>
                <w:sz w:val="16"/>
                <w:szCs w:val="16"/>
                <w:lang w:val="en-US" w:eastAsia="en-GB"/>
              </w:rPr>
              <w:t>0.18</w:t>
            </w:r>
          </w:p>
        </w:tc>
      </w:tr>
      <w:tr w:rsidR="00E06124" w:rsidRPr="008452C4" w14:paraId="2F1D4949" w14:textId="77777777" w:rsidTr="00512434">
        <w:trPr>
          <w:trHeight w:val="277"/>
          <w:jc w:val="center"/>
        </w:trPr>
        <w:tc>
          <w:tcPr>
            <w:tcW w:w="6015" w:type="dxa"/>
            <w:gridSpan w:val="6"/>
            <w:tcBorders>
              <w:top w:val="single" w:sz="4" w:space="0" w:color="auto"/>
              <w:left w:val="nil"/>
              <w:bottom w:val="nil"/>
              <w:right w:val="nil"/>
            </w:tcBorders>
            <w:shd w:val="clear" w:color="auto" w:fill="auto"/>
            <w:noWrap/>
            <w:vAlign w:val="bottom"/>
          </w:tcPr>
          <w:p w14:paraId="2C5E0CC9" w14:textId="77777777" w:rsidR="00E06124" w:rsidRPr="008452C4" w:rsidRDefault="00E06124" w:rsidP="00683053">
            <w:pPr>
              <w:jc w:val="center"/>
              <w:rPr>
                <w:rFonts w:asciiTheme="majorHAnsi" w:eastAsia="Times New Roman" w:hAnsiTheme="majorHAnsi" w:cstheme="majorHAnsi"/>
                <w:color w:val="000000"/>
                <w:sz w:val="16"/>
                <w:szCs w:val="16"/>
                <w:lang w:val="en-US" w:eastAsia="en-GB"/>
              </w:rPr>
            </w:pPr>
            <w:r>
              <w:rPr>
                <w:rFonts w:asciiTheme="majorHAnsi" w:hAnsiTheme="majorHAnsi" w:cstheme="majorHAnsi"/>
                <w:sz w:val="16"/>
                <w:szCs w:val="16"/>
              </w:rPr>
              <w:t>Source</w:t>
            </w:r>
            <w:r w:rsidRPr="008E10C6">
              <w:rPr>
                <w:rFonts w:asciiTheme="majorHAnsi" w:hAnsiTheme="majorHAnsi" w:cstheme="majorHAnsi"/>
                <w:sz w:val="16"/>
                <w:szCs w:val="16"/>
              </w:rPr>
              <w:t xml:space="preserve"> :</w:t>
            </w:r>
            <w:r w:rsidRPr="00397BE4">
              <w:rPr>
                <w:rFonts w:asciiTheme="majorHAnsi" w:hAnsiTheme="majorHAnsi" w:cstheme="majorHAnsi"/>
                <w:sz w:val="16"/>
                <w:szCs w:val="16"/>
              </w:rPr>
              <w:t>Authors computations from own datasets</w:t>
            </w:r>
            <w:r>
              <w:rPr>
                <w:rFonts w:asciiTheme="majorHAnsi" w:hAnsiTheme="majorHAnsi" w:cstheme="majorHAnsi"/>
                <w:sz w:val="16"/>
                <w:szCs w:val="16"/>
              </w:rPr>
              <w:t xml:space="preserve"> (CIT and IRP5) </w:t>
            </w:r>
            <w:r w:rsidRPr="00397BE4">
              <w:rPr>
                <w:rFonts w:asciiTheme="majorHAnsi" w:hAnsiTheme="majorHAnsi" w:cstheme="majorHAnsi"/>
                <w:sz w:val="16"/>
                <w:szCs w:val="16"/>
              </w:rPr>
              <w:t xml:space="preserve"> based on National Treasury and UNU-WIDER (2021)</w:t>
            </w:r>
          </w:p>
        </w:tc>
      </w:tr>
      <w:tr w:rsidR="00E06124" w:rsidRPr="008452C4" w14:paraId="61922ADE" w14:textId="77777777" w:rsidTr="00512434">
        <w:trPr>
          <w:trHeight w:val="277"/>
          <w:jc w:val="center"/>
        </w:trPr>
        <w:tc>
          <w:tcPr>
            <w:tcW w:w="1314" w:type="dxa"/>
            <w:tcBorders>
              <w:top w:val="nil"/>
              <w:left w:val="nil"/>
              <w:right w:val="nil"/>
            </w:tcBorders>
            <w:shd w:val="clear" w:color="auto" w:fill="auto"/>
            <w:noWrap/>
            <w:vAlign w:val="bottom"/>
          </w:tcPr>
          <w:p w14:paraId="11913194" w14:textId="77777777" w:rsidR="00E06124" w:rsidRPr="008452C4" w:rsidRDefault="00E06124" w:rsidP="00683053">
            <w:pPr>
              <w:jc w:val="center"/>
              <w:rPr>
                <w:rFonts w:asciiTheme="majorHAnsi" w:eastAsia="Times New Roman" w:hAnsiTheme="majorHAnsi" w:cstheme="majorHAnsi"/>
                <w:color w:val="000000"/>
                <w:sz w:val="16"/>
                <w:szCs w:val="16"/>
                <w:lang w:val="en-US" w:eastAsia="en-GB"/>
              </w:rPr>
            </w:pPr>
          </w:p>
        </w:tc>
        <w:tc>
          <w:tcPr>
            <w:tcW w:w="1096" w:type="dxa"/>
            <w:tcBorders>
              <w:top w:val="nil"/>
              <w:left w:val="nil"/>
              <w:right w:val="nil"/>
            </w:tcBorders>
            <w:shd w:val="clear" w:color="auto" w:fill="auto"/>
            <w:noWrap/>
            <w:vAlign w:val="bottom"/>
          </w:tcPr>
          <w:p w14:paraId="0A27B181" w14:textId="77777777" w:rsidR="00E06124" w:rsidRPr="008452C4" w:rsidRDefault="00E06124" w:rsidP="00683053">
            <w:pPr>
              <w:jc w:val="center"/>
              <w:rPr>
                <w:rFonts w:asciiTheme="majorHAnsi" w:eastAsia="Times New Roman" w:hAnsiTheme="majorHAnsi" w:cstheme="majorHAnsi"/>
                <w:color w:val="000000"/>
                <w:sz w:val="16"/>
                <w:szCs w:val="16"/>
                <w:lang w:val="en-US" w:eastAsia="en-GB"/>
              </w:rPr>
            </w:pPr>
          </w:p>
        </w:tc>
        <w:tc>
          <w:tcPr>
            <w:tcW w:w="941" w:type="dxa"/>
            <w:tcBorders>
              <w:top w:val="nil"/>
              <w:left w:val="nil"/>
              <w:right w:val="nil"/>
            </w:tcBorders>
            <w:shd w:val="clear" w:color="auto" w:fill="auto"/>
            <w:noWrap/>
            <w:vAlign w:val="bottom"/>
          </w:tcPr>
          <w:p w14:paraId="2FD15C92" w14:textId="77777777" w:rsidR="00E06124" w:rsidRPr="008452C4" w:rsidRDefault="00E06124" w:rsidP="00683053">
            <w:pPr>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0DD91FCD" w14:textId="77777777" w:rsidR="00E06124" w:rsidRPr="008452C4" w:rsidRDefault="00E06124" w:rsidP="00683053">
            <w:pPr>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5DA5B3A1" w14:textId="77777777" w:rsidR="00E06124" w:rsidRPr="008452C4" w:rsidRDefault="00E06124" w:rsidP="00683053">
            <w:pPr>
              <w:jc w:val="center"/>
              <w:rPr>
                <w:rFonts w:asciiTheme="majorHAnsi" w:eastAsia="Times New Roman" w:hAnsiTheme="majorHAnsi" w:cstheme="majorHAnsi"/>
                <w:color w:val="000000"/>
                <w:sz w:val="16"/>
                <w:szCs w:val="16"/>
                <w:lang w:val="en-US" w:eastAsia="en-GB"/>
              </w:rPr>
            </w:pPr>
          </w:p>
        </w:tc>
        <w:tc>
          <w:tcPr>
            <w:tcW w:w="888" w:type="dxa"/>
            <w:tcBorders>
              <w:top w:val="nil"/>
              <w:left w:val="nil"/>
              <w:right w:val="nil"/>
            </w:tcBorders>
            <w:shd w:val="clear" w:color="auto" w:fill="auto"/>
            <w:noWrap/>
            <w:vAlign w:val="bottom"/>
          </w:tcPr>
          <w:p w14:paraId="38E919DE" w14:textId="77777777" w:rsidR="00E06124" w:rsidRPr="008452C4" w:rsidRDefault="00E06124" w:rsidP="00683053">
            <w:pPr>
              <w:jc w:val="center"/>
              <w:rPr>
                <w:rFonts w:asciiTheme="majorHAnsi" w:eastAsia="Times New Roman" w:hAnsiTheme="majorHAnsi" w:cstheme="majorHAnsi"/>
                <w:color w:val="000000"/>
                <w:sz w:val="16"/>
                <w:szCs w:val="16"/>
                <w:lang w:val="en-US" w:eastAsia="en-GB"/>
              </w:rPr>
            </w:pPr>
          </w:p>
        </w:tc>
      </w:tr>
    </w:tbl>
    <w:p w14:paraId="3F8382F4" w14:textId="77777777" w:rsidR="00E06124" w:rsidRDefault="00E06124" w:rsidP="00CF21D5">
      <w:pPr>
        <w:spacing w:line="360" w:lineRule="auto"/>
        <w:ind w:left="720" w:hanging="720"/>
        <w:jc w:val="both"/>
        <w:rPr>
          <w:rFonts w:asciiTheme="majorHAnsi" w:hAnsiTheme="majorHAnsi" w:cstheme="majorHAnsi"/>
          <w:lang w:val="en-US"/>
        </w:rPr>
      </w:pPr>
      <w:r>
        <w:rPr>
          <w:rFonts w:asciiTheme="majorHAnsi" w:hAnsiTheme="majorHAnsi" w:cstheme="majorHAnsi"/>
          <w:lang w:val="en-US"/>
        </w:rPr>
        <w:t xml:space="preserve"> </w:t>
      </w:r>
    </w:p>
    <w:p w14:paraId="3343B198" w14:textId="77777777" w:rsidR="00E06124" w:rsidRDefault="00E06124" w:rsidP="00CF21D5">
      <w:pPr>
        <w:spacing w:line="360" w:lineRule="auto"/>
        <w:ind w:left="720" w:hanging="720"/>
        <w:jc w:val="both"/>
        <w:rPr>
          <w:rFonts w:asciiTheme="majorHAnsi" w:hAnsiTheme="majorHAnsi" w:cstheme="majorHAnsi"/>
          <w:lang w:val="en-US"/>
        </w:rPr>
      </w:pPr>
    </w:p>
    <w:p w14:paraId="4700DDB9" w14:textId="77777777" w:rsidR="00E06124" w:rsidRDefault="00E06124" w:rsidP="00CF21D5">
      <w:pPr>
        <w:spacing w:line="360" w:lineRule="auto"/>
        <w:ind w:left="720" w:hanging="720"/>
        <w:jc w:val="both"/>
        <w:rPr>
          <w:rFonts w:asciiTheme="majorHAnsi" w:hAnsiTheme="majorHAnsi" w:cstheme="majorHAnsi"/>
          <w:lang w:val="en-US"/>
        </w:rPr>
      </w:pPr>
    </w:p>
    <w:p w14:paraId="0746E351" w14:textId="77777777" w:rsidR="00E06124" w:rsidRPr="00CF21D5" w:rsidRDefault="00E06124" w:rsidP="00CF21D5">
      <w:pPr>
        <w:spacing w:line="360" w:lineRule="auto"/>
        <w:ind w:left="720" w:hanging="720"/>
        <w:jc w:val="both"/>
        <w:rPr>
          <w:rFonts w:asciiTheme="majorHAnsi" w:hAnsiTheme="majorHAnsi" w:cstheme="majorHAnsi"/>
          <w:lang w:val="en-US"/>
        </w:rPr>
      </w:pPr>
    </w:p>
    <w:p w14:paraId="458B5D7D" w14:textId="77777777" w:rsidR="00E06124" w:rsidRPr="00CF21D5" w:rsidRDefault="00E06124" w:rsidP="00CF21D5">
      <w:pPr>
        <w:spacing w:line="360" w:lineRule="auto"/>
        <w:ind w:left="720" w:hanging="720"/>
        <w:jc w:val="both"/>
        <w:rPr>
          <w:rFonts w:asciiTheme="majorHAnsi" w:hAnsiTheme="majorHAnsi" w:cstheme="majorHAnsi"/>
          <w:lang w:val="en-US"/>
        </w:rPr>
      </w:pPr>
    </w:p>
    <w:p w14:paraId="0E8E4DB2" w14:textId="77777777" w:rsidR="00E06124" w:rsidRPr="00CF21D5" w:rsidRDefault="00E06124" w:rsidP="00CF21D5">
      <w:pPr>
        <w:spacing w:line="360" w:lineRule="auto"/>
        <w:jc w:val="both"/>
        <w:rPr>
          <w:rFonts w:asciiTheme="majorHAnsi" w:hAnsiTheme="majorHAnsi" w:cstheme="majorHAnsi"/>
          <w:lang w:val="en-US"/>
        </w:rPr>
      </w:pPr>
    </w:p>
    <w:p w14:paraId="04474B82" w14:textId="77777777" w:rsidR="00E06124" w:rsidRPr="00CF21D5" w:rsidRDefault="00E06124" w:rsidP="00CF21D5">
      <w:pPr>
        <w:spacing w:line="360" w:lineRule="auto"/>
        <w:jc w:val="both"/>
        <w:rPr>
          <w:rFonts w:asciiTheme="majorHAnsi" w:hAnsiTheme="majorHAnsi" w:cstheme="majorHAnsi"/>
          <w:lang w:val="en-US"/>
        </w:rPr>
      </w:pPr>
    </w:p>
    <w:p w14:paraId="3E28634A" w14:textId="77777777" w:rsidR="00E06124" w:rsidRPr="00CF21D5" w:rsidRDefault="00E06124" w:rsidP="00CF21D5">
      <w:pPr>
        <w:spacing w:line="360" w:lineRule="auto"/>
        <w:jc w:val="both"/>
        <w:rPr>
          <w:rFonts w:asciiTheme="majorHAnsi" w:hAnsiTheme="majorHAnsi" w:cstheme="majorHAnsi"/>
          <w:lang w:val="en-US"/>
        </w:rPr>
      </w:pPr>
    </w:p>
    <w:p w14:paraId="2E75D60A" w14:textId="77777777" w:rsidR="00E06124" w:rsidRPr="00CF21D5" w:rsidRDefault="00E06124" w:rsidP="00CF21D5">
      <w:pPr>
        <w:spacing w:line="360" w:lineRule="auto"/>
        <w:jc w:val="both"/>
        <w:rPr>
          <w:rFonts w:asciiTheme="majorHAnsi" w:hAnsiTheme="majorHAnsi" w:cstheme="majorHAnsi"/>
          <w:lang w:val="en-US"/>
        </w:rPr>
      </w:pPr>
    </w:p>
    <w:p w14:paraId="79A11466" w14:textId="77777777" w:rsidR="00E06124" w:rsidRPr="00CF21D5" w:rsidRDefault="00E06124" w:rsidP="00CF21D5">
      <w:pPr>
        <w:spacing w:line="360" w:lineRule="auto"/>
        <w:jc w:val="both"/>
        <w:rPr>
          <w:rFonts w:asciiTheme="majorHAnsi" w:hAnsiTheme="majorHAnsi" w:cstheme="majorHAnsi"/>
          <w:lang w:val="en-US"/>
        </w:rPr>
      </w:pPr>
    </w:p>
    <w:p w14:paraId="339873EF" w14:textId="77777777" w:rsidR="00E06124" w:rsidRPr="00CF21D5" w:rsidRDefault="00E06124" w:rsidP="00CF21D5">
      <w:pPr>
        <w:spacing w:line="360" w:lineRule="auto"/>
        <w:jc w:val="both"/>
        <w:rPr>
          <w:rFonts w:asciiTheme="majorHAnsi" w:hAnsiTheme="majorHAnsi" w:cstheme="majorHAnsi"/>
          <w:lang w:val="en-US"/>
        </w:rPr>
      </w:pPr>
    </w:p>
    <w:p w14:paraId="7AA45A6F" w14:textId="77777777" w:rsidR="00E06124" w:rsidRPr="00CF21D5" w:rsidRDefault="00E06124" w:rsidP="00CF21D5">
      <w:pPr>
        <w:spacing w:line="360" w:lineRule="auto"/>
        <w:jc w:val="both"/>
        <w:rPr>
          <w:rFonts w:asciiTheme="majorHAnsi" w:hAnsiTheme="majorHAnsi" w:cstheme="majorHAnsi"/>
          <w:lang w:val="en-US"/>
        </w:rPr>
      </w:pPr>
    </w:p>
    <w:p w14:paraId="0E2E4086" w14:textId="77777777" w:rsidR="00E06124" w:rsidRDefault="00E06124" w:rsidP="00CF21D5">
      <w:pPr>
        <w:spacing w:line="360" w:lineRule="auto"/>
        <w:jc w:val="both"/>
        <w:rPr>
          <w:rFonts w:asciiTheme="majorHAnsi" w:hAnsiTheme="majorHAnsi" w:cstheme="majorHAnsi"/>
          <w:lang w:val="en-US"/>
        </w:rPr>
      </w:pPr>
    </w:p>
    <w:p w14:paraId="4694DF0F" w14:textId="77777777" w:rsidR="00E76455" w:rsidRDefault="00E76455" w:rsidP="00CF21D5">
      <w:pPr>
        <w:spacing w:line="360" w:lineRule="auto"/>
        <w:jc w:val="both"/>
        <w:rPr>
          <w:rFonts w:asciiTheme="majorHAnsi" w:hAnsiTheme="majorHAnsi" w:cstheme="majorHAnsi"/>
          <w:lang w:val="en-US"/>
        </w:rPr>
      </w:pPr>
    </w:p>
    <w:p w14:paraId="6082A38E" w14:textId="77777777" w:rsidR="00E76455" w:rsidRDefault="00E76455" w:rsidP="00CF21D5">
      <w:pPr>
        <w:spacing w:line="360" w:lineRule="auto"/>
        <w:jc w:val="both"/>
        <w:rPr>
          <w:rFonts w:asciiTheme="majorHAnsi" w:hAnsiTheme="majorHAnsi" w:cstheme="majorHAnsi"/>
          <w:lang w:val="en-US"/>
        </w:rPr>
      </w:pPr>
    </w:p>
    <w:p w14:paraId="5FE74186" w14:textId="77777777" w:rsidR="00E76455" w:rsidRPr="00CF21D5" w:rsidRDefault="00E76455" w:rsidP="00CF21D5">
      <w:pPr>
        <w:spacing w:line="360" w:lineRule="auto"/>
        <w:jc w:val="both"/>
        <w:rPr>
          <w:rFonts w:asciiTheme="majorHAnsi" w:hAnsiTheme="majorHAnsi" w:cstheme="majorHAnsi"/>
          <w:lang w:val="en-US"/>
        </w:rPr>
      </w:pPr>
    </w:p>
    <w:p w14:paraId="1F6E133F" w14:textId="77777777" w:rsidR="00E06124" w:rsidRDefault="00E06124" w:rsidP="00CF21D5">
      <w:pPr>
        <w:spacing w:line="360" w:lineRule="auto"/>
        <w:jc w:val="both"/>
        <w:rPr>
          <w:rFonts w:asciiTheme="majorHAnsi" w:hAnsiTheme="majorHAnsi" w:cstheme="majorHAnsi"/>
          <w:lang w:val="en-US"/>
        </w:rPr>
      </w:pPr>
    </w:p>
    <w:p w14:paraId="2614C1AE" w14:textId="77777777" w:rsidR="003061F5" w:rsidRPr="003061F5" w:rsidRDefault="003061F5" w:rsidP="003061F5">
      <w:pPr>
        <w:spacing w:after="160" w:line="360" w:lineRule="auto"/>
        <w:jc w:val="both"/>
        <w:rPr>
          <w:rFonts w:asciiTheme="majorHAnsi" w:eastAsiaTheme="minorHAnsi" w:hAnsiTheme="majorHAnsi" w:cstheme="majorHAnsi"/>
          <w:kern w:val="0"/>
          <w:lang w:val="en-ZA"/>
          <w14:ligatures w14:val="none"/>
        </w:rPr>
      </w:pPr>
      <w:bookmarkStart w:id="0" w:name="_Hlk129339929"/>
    </w:p>
    <w:p w14:paraId="055707A8" w14:textId="77777777" w:rsidR="003061F5" w:rsidRPr="003061F5" w:rsidRDefault="003061F5" w:rsidP="003061F5">
      <w:pPr>
        <w:spacing w:after="160" w:line="360" w:lineRule="auto"/>
        <w:jc w:val="both"/>
        <w:rPr>
          <w:rFonts w:asciiTheme="majorHAnsi" w:eastAsiaTheme="minorHAnsi" w:hAnsiTheme="majorHAnsi" w:cstheme="majorHAnsi"/>
          <w:b/>
          <w:bCs/>
          <w:kern w:val="0"/>
          <w:lang w:val="en-US"/>
          <w14:ligatures w14:val="none"/>
        </w:rPr>
      </w:pPr>
      <w:bookmarkStart w:id="1" w:name="_Hlk96390700"/>
      <w:r w:rsidRPr="003061F5">
        <w:rPr>
          <w:rFonts w:asciiTheme="majorHAnsi" w:eastAsiaTheme="minorHAnsi" w:hAnsiTheme="majorHAnsi" w:cstheme="majorHAnsi"/>
          <w:b/>
          <w:bCs/>
          <w:kern w:val="0"/>
          <w:lang w:val="en-US"/>
          <w14:ligatures w14:val="none"/>
        </w:rPr>
        <w:t>References</w:t>
      </w:r>
      <w:bookmarkEnd w:id="1"/>
    </w:p>
    <w:p w14:paraId="76CD6A88"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proofErr w:type="spellStart"/>
      <w:r w:rsidRPr="003061F5">
        <w:rPr>
          <w:rFonts w:asciiTheme="majorHAnsi" w:eastAsiaTheme="minorHAnsi" w:hAnsiTheme="majorHAnsi" w:cstheme="majorHAnsi"/>
          <w:kern w:val="0"/>
          <w14:ligatures w14:val="none"/>
        </w:rPr>
        <w:t>Arulampalam</w:t>
      </w:r>
      <w:proofErr w:type="spellEnd"/>
      <w:r w:rsidRPr="003061F5">
        <w:rPr>
          <w:rFonts w:asciiTheme="majorHAnsi" w:eastAsiaTheme="minorHAnsi" w:hAnsiTheme="majorHAnsi" w:cstheme="majorHAnsi"/>
          <w:kern w:val="0"/>
          <w14:ligatures w14:val="none"/>
        </w:rPr>
        <w:t xml:space="preserve">, W., Booth, A. and Bryan, L. (2004). ‘Training and the </w:t>
      </w:r>
      <w:proofErr w:type="spellStart"/>
      <w:r w:rsidRPr="003061F5">
        <w:rPr>
          <w:rFonts w:asciiTheme="majorHAnsi" w:eastAsiaTheme="minorHAnsi" w:hAnsiTheme="majorHAnsi" w:cstheme="majorHAnsi"/>
          <w:kern w:val="0"/>
          <w14:ligatures w14:val="none"/>
        </w:rPr>
        <w:t>NewMinimum</w:t>
      </w:r>
      <w:proofErr w:type="spellEnd"/>
      <w:r w:rsidRPr="003061F5">
        <w:rPr>
          <w:rFonts w:asciiTheme="majorHAnsi" w:eastAsiaTheme="minorHAnsi" w:hAnsiTheme="majorHAnsi" w:cstheme="majorHAnsi"/>
          <w:kern w:val="0"/>
          <w14:ligatures w14:val="none"/>
        </w:rPr>
        <w:t xml:space="preserve"> Wage’. Economic Journal 114(494): C87–C94.</w:t>
      </w:r>
    </w:p>
    <w:p w14:paraId="417CCD94"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 xml:space="preserve">Boal, W. M., &amp; Ransom, M. R. (1997). Monopsony in the </w:t>
      </w:r>
      <w:proofErr w:type="spellStart"/>
      <w:r w:rsidRPr="003061F5">
        <w:rPr>
          <w:rFonts w:asciiTheme="majorHAnsi" w:eastAsiaTheme="minorHAnsi" w:hAnsiTheme="majorHAnsi" w:cstheme="majorHAnsi"/>
          <w:kern w:val="0"/>
          <w:lang w:val="en-ZA"/>
          <w14:ligatures w14:val="none"/>
        </w:rPr>
        <w:t>labor</w:t>
      </w:r>
      <w:proofErr w:type="spellEnd"/>
      <w:r w:rsidRPr="003061F5">
        <w:rPr>
          <w:rFonts w:asciiTheme="majorHAnsi" w:eastAsiaTheme="minorHAnsi" w:hAnsiTheme="majorHAnsi" w:cstheme="majorHAnsi"/>
          <w:kern w:val="0"/>
          <w:lang w:val="en-ZA"/>
          <w14:ligatures w14:val="none"/>
        </w:rPr>
        <w:t xml:space="preserve"> market. </w:t>
      </w:r>
      <w:r w:rsidRPr="003061F5">
        <w:rPr>
          <w:rFonts w:asciiTheme="majorHAnsi" w:eastAsiaTheme="minorHAnsi" w:hAnsiTheme="majorHAnsi" w:cstheme="majorHAnsi"/>
          <w:i/>
          <w:iCs/>
          <w:kern w:val="0"/>
          <w:lang w:val="en-ZA"/>
          <w14:ligatures w14:val="none"/>
        </w:rPr>
        <w:t>Journal of economic literature</w:t>
      </w:r>
      <w:r w:rsidRPr="003061F5">
        <w:rPr>
          <w:rFonts w:asciiTheme="majorHAnsi" w:eastAsiaTheme="minorHAnsi" w:hAnsiTheme="majorHAnsi" w:cstheme="majorHAnsi"/>
          <w:kern w:val="0"/>
          <w:lang w:val="en-ZA"/>
          <w14:ligatures w14:val="none"/>
        </w:rPr>
        <w:t>, </w:t>
      </w:r>
      <w:r w:rsidRPr="003061F5">
        <w:rPr>
          <w:rFonts w:asciiTheme="majorHAnsi" w:eastAsiaTheme="minorHAnsi" w:hAnsiTheme="majorHAnsi" w:cstheme="majorHAnsi"/>
          <w:i/>
          <w:iCs/>
          <w:kern w:val="0"/>
          <w:lang w:val="en-ZA"/>
          <w14:ligatures w14:val="none"/>
        </w:rPr>
        <w:t>35</w:t>
      </w:r>
      <w:r w:rsidRPr="003061F5">
        <w:rPr>
          <w:rFonts w:asciiTheme="majorHAnsi" w:eastAsiaTheme="minorHAnsi" w:hAnsiTheme="majorHAnsi" w:cstheme="majorHAnsi"/>
          <w:kern w:val="0"/>
          <w:lang w:val="en-ZA"/>
          <w14:ligatures w14:val="none"/>
        </w:rPr>
        <w:t>(1), 86-112.</w:t>
      </w:r>
    </w:p>
    <w:p w14:paraId="6BE78F70"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 xml:space="preserve">Bodnár, K., </w:t>
      </w:r>
      <w:proofErr w:type="spellStart"/>
      <w:r w:rsidRPr="003061F5">
        <w:rPr>
          <w:rFonts w:asciiTheme="majorHAnsi" w:eastAsiaTheme="minorHAnsi" w:hAnsiTheme="majorHAnsi" w:cstheme="majorHAnsi"/>
          <w:kern w:val="0"/>
          <w:lang w:val="en-ZA"/>
          <w14:ligatures w14:val="none"/>
        </w:rPr>
        <w:t>Fadejeva</w:t>
      </w:r>
      <w:proofErr w:type="spellEnd"/>
      <w:r w:rsidRPr="003061F5">
        <w:rPr>
          <w:rFonts w:asciiTheme="majorHAnsi" w:eastAsiaTheme="minorHAnsi" w:hAnsiTheme="majorHAnsi" w:cstheme="majorHAnsi"/>
          <w:kern w:val="0"/>
          <w:lang w:val="en-ZA"/>
          <w14:ligatures w14:val="none"/>
        </w:rPr>
        <w:t xml:space="preserve">, L., Iordache, S., Malk, L., </w:t>
      </w:r>
      <w:proofErr w:type="spellStart"/>
      <w:r w:rsidRPr="003061F5">
        <w:rPr>
          <w:rFonts w:asciiTheme="majorHAnsi" w:eastAsiaTheme="minorHAnsi" w:hAnsiTheme="majorHAnsi" w:cstheme="majorHAnsi"/>
          <w:kern w:val="0"/>
          <w:lang w:val="en-ZA"/>
          <w14:ligatures w14:val="none"/>
        </w:rPr>
        <w:t>Paskaleva</w:t>
      </w:r>
      <w:proofErr w:type="spellEnd"/>
      <w:r w:rsidRPr="003061F5">
        <w:rPr>
          <w:rFonts w:asciiTheme="majorHAnsi" w:eastAsiaTheme="minorHAnsi" w:hAnsiTheme="majorHAnsi" w:cstheme="majorHAnsi"/>
          <w:kern w:val="0"/>
          <w:lang w:val="en-ZA"/>
          <w14:ligatures w14:val="none"/>
        </w:rPr>
        <w:t xml:space="preserve">, D., </w:t>
      </w:r>
      <w:proofErr w:type="spellStart"/>
      <w:r w:rsidRPr="003061F5">
        <w:rPr>
          <w:rFonts w:asciiTheme="majorHAnsi" w:eastAsiaTheme="minorHAnsi" w:hAnsiTheme="majorHAnsi" w:cstheme="majorHAnsi"/>
          <w:kern w:val="0"/>
          <w:lang w:val="en-ZA"/>
          <w14:ligatures w14:val="none"/>
        </w:rPr>
        <w:t>Pesliakaitė</w:t>
      </w:r>
      <w:proofErr w:type="spellEnd"/>
      <w:r w:rsidRPr="003061F5">
        <w:rPr>
          <w:rFonts w:asciiTheme="majorHAnsi" w:eastAsiaTheme="minorHAnsi" w:hAnsiTheme="majorHAnsi" w:cstheme="majorHAnsi"/>
          <w:kern w:val="0"/>
          <w:lang w:val="en-ZA"/>
          <w14:ligatures w14:val="none"/>
        </w:rPr>
        <w:t xml:space="preserve">, J., ... &amp; </w:t>
      </w:r>
      <w:proofErr w:type="spellStart"/>
      <w:r w:rsidRPr="003061F5">
        <w:rPr>
          <w:rFonts w:asciiTheme="majorHAnsi" w:eastAsiaTheme="minorHAnsi" w:hAnsiTheme="majorHAnsi" w:cstheme="majorHAnsi"/>
          <w:kern w:val="0"/>
          <w:lang w:val="en-ZA"/>
          <w14:ligatures w14:val="none"/>
        </w:rPr>
        <w:t>Wyszyński</w:t>
      </w:r>
      <w:proofErr w:type="spellEnd"/>
      <w:r w:rsidRPr="003061F5">
        <w:rPr>
          <w:rFonts w:asciiTheme="majorHAnsi" w:eastAsiaTheme="minorHAnsi" w:hAnsiTheme="majorHAnsi" w:cstheme="majorHAnsi"/>
          <w:kern w:val="0"/>
          <w:lang w:val="en-ZA"/>
          <w14:ligatures w14:val="none"/>
        </w:rPr>
        <w:t xml:space="preserve">, R. (2018). How do firms adjust to rises in the minimum wage? Survey evidence from Central and Eastern Europe. </w:t>
      </w:r>
      <w:r w:rsidRPr="003061F5">
        <w:rPr>
          <w:rFonts w:asciiTheme="majorHAnsi" w:eastAsiaTheme="minorHAnsi" w:hAnsiTheme="majorHAnsi" w:cstheme="majorHAnsi"/>
          <w:i/>
          <w:iCs/>
          <w:kern w:val="0"/>
          <w:lang w:val="en-ZA"/>
          <w14:ligatures w14:val="none"/>
        </w:rPr>
        <w:t>IZA Journal of Labor Policy</w:t>
      </w:r>
      <w:r w:rsidRPr="003061F5">
        <w:rPr>
          <w:rFonts w:asciiTheme="majorHAnsi" w:eastAsiaTheme="minorHAnsi" w:hAnsiTheme="majorHAnsi" w:cstheme="majorHAnsi"/>
          <w:kern w:val="0"/>
          <w:lang w:val="en-ZA"/>
          <w14:ligatures w14:val="none"/>
        </w:rPr>
        <w:t xml:space="preserve">, </w:t>
      </w:r>
      <w:r w:rsidRPr="003061F5">
        <w:rPr>
          <w:rFonts w:asciiTheme="majorHAnsi" w:eastAsiaTheme="minorHAnsi" w:hAnsiTheme="majorHAnsi" w:cstheme="majorHAnsi"/>
          <w:i/>
          <w:iCs/>
          <w:kern w:val="0"/>
          <w:lang w:val="en-ZA"/>
          <w14:ligatures w14:val="none"/>
        </w:rPr>
        <w:t>7</w:t>
      </w:r>
      <w:r w:rsidRPr="003061F5">
        <w:rPr>
          <w:rFonts w:asciiTheme="majorHAnsi" w:eastAsiaTheme="minorHAnsi" w:hAnsiTheme="majorHAnsi" w:cstheme="majorHAnsi"/>
          <w:kern w:val="0"/>
          <w:lang w:val="en-ZA"/>
          <w14:ligatures w14:val="none"/>
        </w:rPr>
        <w:t>(1), 1-30.</w:t>
      </w:r>
    </w:p>
    <w:p w14:paraId="2D76B260"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 xml:space="preserve">Bodnár, K., </w:t>
      </w:r>
      <w:proofErr w:type="spellStart"/>
      <w:r w:rsidRPr="003061F5">
        <w:rPr>
          <w:rFonts w:asciiTheme="majorHAnsi" w:eastAsiaTheme="minorHAnsi" w:hAnsiTheme="majorHAnsi" w:cstheme="majorHAnsi"/>
          <w:kern w:val="0"/>
          <w:lang w:val="en-ZA"/>
          <w14:ligatures w14:val="none"/>
        </w:rPr>
        <w:t>Fadejeva</w:t>
      </w:r>
      <w:proofErr w:type="spellEnd"/>
      <w:r w:rsidRPr="003061F5">
        <w:rPr>
          <w:rFonts w:asciiTheme="majorHAnsi" w:eastAsiaTheme="minorHAnsi" w:hAnsiTheme="majorHAnsi" w:cstheme="majorHAnsi"/>
          <w:kern w:val="0"/>
          <w:lang w:val="en-ZA"/>
          <w14:ligatures w14:val="none"/>
        </w:rPr>
        <w:t xml:space="preserve">, L., Iordache, S., Malk, L., </w:t>
      </w:r>
      <w:proofErr w:type="spellStart"/>
      <w:r w:rsidRPr="003061F5">
        <w:rPr>
          <w:rFonts w:asciiTheme="majorHAnsi" w:eastAsiaTheme="minorHAnsi" w:hAnsiTheme="majorHAnsi" w:cstheme="majorHAnsi"/>
          <w:kern w:val="0"/>
          <w:lang w:val="en-ZA"/>
          <w14:ligatures w14:val="none"/>
        </w:rPr>
        <w:t>Paskaleva</w:t>
      </w:r>
      <w:proofErr w:type="spellEnd"/>
      <w:r w:rsidRPr="003061F5">
        <w:rPr>
          <w:rFonts w:asciiTheme="majorHAnsi" w:eastAsiaTheme="minorHAnsi" w:hAnsiTheme="majorHAnsi" w:cstheme="majorHAnsi"/>
          <w:kern w:val="0"/>
          <w:lang w:val="en-ZA"/>
          <w14:ligatures w14:val="none"/>
        </w:rPr>
        <w:t xml:space="preserve">, D., </w:t>
      </w:r>
      <w:proofErr w:type="spellStart"/>
      <w:r w:rsidRPr="003061F5">
        <w:rPr>
          <w:rFonts w:asciiTheme="majorHAnsi" w:eastAsiaTheme="minorHAnsi" w:hAnsiTheme="majorHAnsi" w:cstheme="majorHAnsi"/>
          <w:kern w:val="0"/>
          <w:lang w:val="en-ZA"/>
          <w14:ligatures w14:val="none"/>
        </w:rPr>
        <w:t>Pesliakaitė</w:t>
      </w:r>
      <w:proofErr w:type="spellEnd"/>
      <w:r w:rsidRPr="003061F5">
        <w:rPr>
          <w:rFonts w:asciiTheme="majorHAnsi" w:eastAsiaTheme="minorHAnsi" w:hAnsiTheme="majorHAnsi" w:cstheme="majorHAnsi"/>
          <w:kern w:val="0"/>
          <w:lang w:val="en-ZA"/>
          <w14:ligatures w14:val="none"/>
        </w:rPr>
        <w:t xml:space="preserve">, J., ... &amp; </w:t>
      </w:r>
      <w:proofErr w:type="spellStart"/>
      <w:r w:rsidRPr="003061F5">
        <w:rPr>
          <w:rFonts w:asciiTheme="majorHAnsi" w:eastAsiaTheme="minorHAnsi" w:hAnsiTheme="majorHAnsi" w:cstheme="majorHAnsi"/>
          <w:kern w:val="0"/>
          <w:lang w:val="en-ZA"/>
          <w14:ligatures w14:val="none"/>
        </w:rPr>
        <w:t>Wyszyński</w:t>
      </w:r>
      <w:proofErr w:type="spellEnd"/>
      <w:r w:rsidRPr="003061F5">
        <w:rPr>
          <w:rFonts w:asciiTheme="majorHAnsi" w:eastAsiaTheme="minorHAnsi" w:hAnsiTheme="majorHAnsi" w:cstheme="majorHAnsi"/>
          <w:kern w:val="0"/>
          <w:lang w:val="en-ZA"/>
          <w14:ligatures w14:val="none"/>
        </w:rPr>
        <w:t>, R. (2018). How do firms adjust to rises in the minimum wage? Survey evidence from Central and Eastern Europe. </w:t>
      </w:r>
      <w:r w:rsidRPr="003061F5">
        <w:rPr>
          <w:rFonts w:asciiTheme="majorHAnsi" w:eastAsiaTheme="minorHAnsi" w:hAnsiTheme="majorHAnsi" w:cstheme="majorHAnsi"/>
          <w:i/>
          <w:iCs/>
          <w:kern w:val="0"/>
          <w:lang w:val="en-ZA"/>
          <w14:ligatures w14:val="none"/>
        </w:rPr>
        <w:t>IZA Journal of Labor Policy</w:t>
      </w:r>
      <w:r w:rsidRPr="003061F5">
        <w:rPr>
          <w:rFonts w:asciiTheme="majorHAnsi" w:eastAsiaTheme="minorHAnsi" w:hAnsiTheme="majorHAnsi" w:cstheme="majorHAnsi"/>
          <w:kern w:val="0"/>
          <w:lang w:val="en-ZA"/>
          <w14:ligatures w14:val="none"/>
        </w:rPr>
        <w:t>, </w:t>
      </w:r>
      <w:r w:rsidRPr="003061F5">
        <w:rPr>
          <w:rFonts w:asciiTheme="majorHAnsi" w:eastAsiaTheme="minorHAnsi" w:hAnsiTheme="majorHAnsi" w:cstheme="majorHAnsi"/>
          <w:i/>
          <w:iCs/>
          <w:kern w:val="0"/>
          <w:lang w:val="en-ZA"/>
          <w14:ligatures w14:val="none"/>
        </w:rPr>
        <w:t>7</w:t>
      </w:r>
      <w:r w:rsidRPr="003061F5">
        <w:rPr>
          <w:rFonts w:asciiTheme="majorHAnsi" w:eastAsiaTheme="minorHAnsi" w:hAnsiTheme="majorHAnsi" w:cstheme="majorHAnsi"/>
          <w:kern w:val="0"/>
          <w:lang w:val="en-ZA"/>
          <w14:ligatures w14:val="none"/>
        </w:rPr>
        <w:t>(1), 1-30</w:t>
      </w:r>
    </w:p>
    <w:p w14:paraId="3DA5DBED"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proofErr w:type="spellStart"/>
      <w:r w:rsidRPr="003061F5">
        <w:rPr>
          <w:rFonts w:asciiTheme="majorHAnsi" w:eastAsiaTheme="minorHAnsi" w:hAnsiTheme="majorHAnsi" w:cstheme="majorHAnsi"/>
          <w:kern w:val="0"/>
          <w14:ligatures w14:val="none"/>
        </w:rPr>
        <w:t>Draca</w:t>
      </w:r>
      <w:proofErr w:type="spellEnd"/>
      <w:r w:rsidRPr="003061F5">
        <w:rPr>
          <w:rFonts w:asciiTheme="majorHAnsi" w:eastAsiaTheme="minorHAnsi" w:hAnsiTheme="majorHAnsi" w:cstheme="majorHAnsi"/>
          <w:kern w:val="0"/>
          <w14:ligatures w14:val="none"/>
        </w:rPr>
        <w:t xml:space="preserve">, M., Machin, S., and Van Reenen, J. (2005). The Impact of the National Minimum Wage on Profits and Prices, Research Report for the Low Pay Commission. </w:t>
      </w:r>
    </w:p>
    <w:p w14:paraId="1EF2DEC7"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proofErr w:type="spellStart"/>
      <w:r w:rsidRPr="003061F5">
        <w:rPr>
          <w:rFonts w:asciiTheme="majorHAnsi" w:eastAsiaTheme="minorHAnsi" w:hAnsiTheme="majorHAnsi" w:cstheme="majorHAnsi"/>
          <w:kern w:val="0"/>
          <w14:ligatures w14:val="none"/>
        </w:rPr>
        <w:t>Draca</w:t>
      </w:r>
      <w:proofErr w:type="spellEnd"/>
      <w:r w:rsidRPr="003061F5">
        <w:rPr>
          <w:rFonts w:asciiTheme="majorHAnsi" w:eastAsiaTheme="minorHAnsi" w:hAnsiTheme="majorHAnsi" w:cstheme="majorHAnsi"/>
          <w:kern w:val="0"/>
          <w14:ligatures w14:val="none"/>
        </w:rPr>
        <w:t>, M., Machin, S., and Van Reenen, J. (2011). ‘Minimum Wages and Firm Profitability’. American Economic Journal: Applied Economics, 3, 129-151.</w:t>
      </w:r>
    </w:p>
    <w:p w14:paraId="66593D4D"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Galindo-Rueda, F. and Pereira, S. (2004). The Impact of the National Minimum Wage on British Firms, Research Report for the Low Pay Commission</w:t>
      </w:r>
    </w:p>
    <w:p w14:paraId="089197FB"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 xml:space="preserve">Garita, J. (2020). Minimum Wages and Firm Dynamics: Evidence From Costa Rica’s Occupation-Based System. </w:t>
      </w:r>
      <w:r w:rsidRPr="003061F5">
        <w:rPr>
          <w:rFonts w:asciiTheme="majorHAnsi" w:eastAsiaTheme="minorHAnsi" w:hAnsiTheme="majorHAnsi" w:cstheme="majorHAnsi"/>
          <w:i/>
          <w:iCs/>
          <w:kern w:val="0"/>
          <w:lang w:val="en-ZA"/>
          <w14:ligatures w14:val="none"/>
        </w:rPr>
        <w:t>SSRN Electronic Journal</w:t>
      </w:r>
      <w:r w:rsidRPr="003061F5">
        <w:rPr>
          <w:rFonts w:asciiTheme="majorHAnsi" w:eastAsiaTheme="minorHAnsi" w:hAnsiTheme="majorHAnsi" w:cstheme="majorHAnsi"/>
          <w:kern w:val="0"/>
          <w:lang w:val="en-ZA"/>
          <w14:ligatures w14:val="none"/>
        </w:rPr>
        <w:t xml:space="preserve">. </w:t>
      </w:r>
      <w:hyperlink r:id="rId16" w:history="1">
        <w:r w:rsidRPr="003061F5">
          <w:rPr>
            <w:rFonts w:asciiTheme="majorHAnsi" w:eastAsiaTheme="minorHAnsi" w:hAnsiTheme="majorHAnsi" w:cstheme="majorHAnsi"/>
            <w:color w:val="0563C1" w:themeColor="hyperlink"/>
            <w:kern w:val="0"/>
            <w:u w:val="single"/>
            <w:lang w:val="en-ZA"/>
            <w14:ligatures w14:val="none"/>
          </w:rPr>
          <w:t>https://doi.org/10.2139/ssrn.3727791</w:t>
        </w:r>
      </w:hyperlink>
    </w:p>
    <w:p w14:paraId="548025F7"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Georgiadis, A. (2013). ‘Efficiency Wages and the Economic Effects of the</w:t>
      </w:r>
    </w:p>
    <w:p w14:paraId="533D4DE5"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color w:val="222222"/>
          <w:kern w:val="0"/>
          <w:shd w:val="clear" w:color="auto" w:fill="FFFFFF"/>
          <w:lang w:val="nl-NL"/>
          <w14:ligatures w14:val="none"/>
        </w:rPr>
        <w:t xml:space="preserve">Geide-Stevenson, D., &amp; La Parra-Perez, A. (2021). </w:t>
      </w:r>
      <w:r w:rsidRPr="003061F5">
        <w:rPr>
          <w:rFonts w:asciiTheme="majorHAnsi" w:eastAsiaTheme="minorHAnsi" w:hAnsiTheme="majorHAnsi" w:cstheme="majorHAnsi"/>
          <w:color w:val="222222"/>
          <w:kern w:val="0"/>
          <w:shd w:val="clear" w:color="auto" w:fill="FFFFFF"/>
          <w:lang w:val="en-ZA"/>
          <w14:ligatures w14:val="none"/>
        </w:rPr>
        <w:t>Consensus Among Economists 2020: A Sharpening of the Picture.</w:t>
      </w:r>
    </w:p>
    <w:p w14:paraId="71E229DF"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Hall D, Cooper D (2012) How raising the federal minimum wage would help working families and give the economy a boost, issue brief no. 341. Economic Policy Institute, Washington, DC.</w:t>
      </w:r>
    </w:p>
    <w:p w14:paraId="0C6D4E7F"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proofErr w:type="spellStart"/>
      <w:r w:rsidRPr="003061F5">
        <w:rPr>
          <w:rFonts w:asciiTheme="majorHAnsi" w:eastAsiaTheme="minorHAnsi" w:hAnsiTheme="majorHAnsi" w:cstheme="majorHAnsi"/>
          <w:kern w:val="0"/>
          <w:lang w:val="en-ZA"/>
          <w14:ligatures w14:val="none"/>
        </w:rPr>
        <w:t>Harasztosi</w:t>
      </w:r>
      <w:proofErr w:type="spellEnd"/>
      <w:r w:rsidRPr="003061F5">
        <w:rPr>
          <w:rFonts w:asciiTheme="majorHAnsi" w:eastAsiaTheme="minorHAnsi" w:hAnsiTheme="majorHAnsi" w:cstheme="majorHAnsi"/>
          <w:kern w:val="0"/>
          <w:lang w:val="en-ZA"/>
          <w14:ligatures w14:val="none"/>
        </w:rPr>
        <w:t xml:space="preserve">, P., &amp; Lindner, A. (2019). Who Pays for the Minimum Wage? </w:t>
      </w:r>
      <w:r w:rsidRPr="003061F5">
        <w:rPr>
          <w:rFonts w:asciiTheme="majorHAnsi" w:eastAsiaTheme="minorHAnsi" w:hAnsiTheme="majorHAnsi" w:cstheme="majorHAnsi"/>
          <w:i/>
          <w:iCs/>
          <w:kern w:val="0"/>
          <w:lang w:val="en-ZA"/>
          <w14:ligatures w14:val="none"/>
        </w:rPr>
        <w:t>American Economic Review</w:t>
      </w:r>
      <w:r w:rsidRPr="003061F5">
        <w:rPr>
          <w:rFonts w:asciiTheme="majorHAnsi" w:eastAsiaTheme="minorHAnsi" w:hAnsiTheme="majorHAnsi" w:cstheme="majorHAnsi"/>
          <w:kern w:val="0"/>
          <w:lang w:val="en-ZA"/>
          <w14:ligatures w14:val="none"/>
        </w:rPr>
        <w:t xml:space="preserve">, </w:t>
      </w:r>
      <w:r w:rsidRPr="003061F5">
        <w:rPr>
          <w:rFonts w:asciiTheme="majorHAnsi" w:eastAsiaTheme="minorHAnsi" w:hAnsiTheme="majorHAnsi" w:cstheme="majorHAnsi"/>
          <w:i/>
          <w:iCs/>
          <w:kern w:val="0"/>
          <w:lang w:val="en-ZA"/>
          <w14:ligatures w14:val="none"/>
        </w:rPr>
        <w:t>109</w:t>
      </w:r>
      <w:r w:rsidRPr="003061F5">
        <w:rPr>
          <w:rFonts w:asciiTheme="majorHAnsi" w:eastAsiaTheme="minorHAnsi" w:hAnsiTheme="majorHAnsi" w:cstheme="majorHAnsi"/>
          <w:kern w:val="0"/>
          <w:lang w:val="en-ZA"/>
          <w14:ligatures w14:val="none"/>
        </w:rPr>
        <w:t xml:space="preserve">(8), 2693–2727. </w:t>
      </w:r>
      <w:hyperlink r:id="rId17" w:history="1">
        <w:r w:rsidRPr="003061F5">
          <w:rPr>
            <w:rFonts w:asciiTheme="majorHAnsi" w:eastAsiaTheme="minorHAnsi" w:hAnsiTheme="majorHAnsi" w:cstheme="majorHAnsi"/>
            <w:color w:val="0563C1" w:themeColor="hyperlink"/>
            <w:kern w:val="0"/>
            <w:u w:val="single"/>
            <w:lang w:val="en-ZA"/>
            <w14:ligatures w14:val="none"/>
          </w:rPr>
          <w:t>https://doi.org/10.1257/aer.20171445</w:t>
        </w:r>
      </w:hyperlink>
    </w:p>
    <w:p w14:paraId="586902A0"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lastRenderedPageBreak/>
        <w:t>Hirsch, B. T., Kaufman, B. E., &amp; Zelenska, T. (2015). Minimum wage channels of adjustment. </w:t>
      </w:r>
      <w:r w:rsidRPr="003061F5">
        <w:rPr>
          <w:rFonts w:asciiTheme="majorHAnsi" w:eastAsiaTheme="minorHAnsi" w:hAnsiTheme="majorHAnsi" w:cstheme="majorHAnsi"/>
          <w:i/>
          <w:iCs/>
          <w:kern w:val="0"/>
          <w:lang w:val="en-ZA"/>
          <w14:ligatures w14:val="none"/>
        </w:rPr>
        <w:t>Industrial Relations: A Journal of Economy and Society</w:t>
      </w:r>
      <w:r w:rsidRPr="003061F5">
        <w:rPr>
          <w:rFonts w:asciiTheme="majorHAnsi" w:eastAsiaTheme="minorHAnsi" w:hAnsiTheme="majorHAnsi" w:cstheme="majorHAnsi"/>
          <w:kern w:val="0"/>
          <w:lang w:val="en-ZA"/>
          <w14:ligatures w14:val="none"/>
        </w:rPr>
        <w:t>, </w:t>
      </w:r>
      <w:r w:rsidRPr="003061F5">
        <w:rPr>
          <w:rFonts w:asciiTheme="majorHAnsi" w:eastAsiaTheme="minorHAnsi" w:hAnsiTheme="majorHAnsi" w:cstheme="majorHAnsi"/>
          <w:i/>
          <w:iCs/>
          <w:kern w:val="0"/>
          <w:lang w:val="en-ZA"/>
          <w14:ligatures w14:val="none"/>
        </w:rPr>
        <w:t>54</w:t>
      </w:r>
      <w:r w:rsidRPr="003061F5">
        <w:rPr>
          <w:rFonts w:asciiTheme="majorHAnsi" w:eastAsiaTheme="minorHAnsi" w:hAnsiTheme="majorHAnsi" w:cstheme="majorHAnsi"/>
          <w:kern w:val="0"/>
          <w:lang w:val="en-ZA"/>
          <w14:ligatures w14:val="none"/>
        </w:rPr>
        <w:t>(2), 199-239.</w:t>
      </w:r>
    </w:p>
    <w:p w14:paraId="4F969F92"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 xml:space="preserve">Hirsch, B., Kaufman, B. and Zelenska, T. (2015). Minimum Wage Channels of Adjustment, IZA Discussion paper n. 6132. </w:t>
      </w:r>
    </w:p>
    <w:p w14:paraId="60749002"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lang w:val="en-ZA"/>
          <w14:ligatures w14:val="none"/>
        </w:rPr>
        <w:t xml:space="preserve">Huang, Y., </w:t>
      </w:r>
      <w:proofErr w:type="spellStart"/>
      <w:r w:rsidRPr="003061F5">
        <w:rPr>
          <w:rFonts w:asciiTheme="majorHAnsi" w:eastAsiaTheme="minorHAnsi" w:hAnsiTheme="majorHAnsi" w:cstheme="majorHAnsi"/>
          <w:kern w:val="0"/>
          <w:lang w:val="en-ZA"/>
          <w14:ligatures w14:val="none"/>
        </w:rPr>
        <w:t>Loungani</w:t>
      </w:r>
      <w:proofErr w:type="spellEnd"/>
      <w:r w:rsidRPr="003061F5">
        <w:rPr>
          <w:rFonts w:asciiTheme="majorHAnsi" w:eastAsiaTheme="minorHAnsi" w:hAnsiTheme="majorHAnsi" w:cstheme="majorHAnsi"/>
          <w:kern w:val="0"/>
          <w:lang w:val="en-ZA"/>
          <w14:ligatures w14:val="none"/>
        </w:rPr>
        <w:t>, M. P., &amp; Wang, G. (2014). </w:t>
      </w:r>
      <w:r w:rsidRPr="003061F5">
        <w:rPr>
          <w:rFonts w:asciiTheme="majorHAnsi" w:eastAsiaTheme="minorHAnsi" w:hAnsiTheme="majorHAnsi" w:cstheme="majorHAnsi"/>
          <w:i/>
          <w:iCs/>
          <w:kern w:val="0"/>
          <w:lang w:val="en-ZA"/>
          <w14:ligatures w14:val="none"/>
        </w:rPr>
        <w:t>Minimum wages and firm employment: Evidence from China</w:t>
      </w:r>
      <w:r w:rsidRPr="003061F5">
        <w:rPr>
          <w:rFonts w:asciiTheme="majorHAnsi" w:eastAsiaTheme="minorHAnsi" w:hAnsiTheme="majorHAnsi" w:cstheme="majorHAnsi"/>
          <w:kern w:val="0"/>
          <w:lang w:val="en-ZA"/>
          <w14:ligatures w14:val="none"/>
        </w:rPr>
        <w:t>. International Monetary Fund</w:t>
      </w:r>
    </w:p>
    <w:p w14:paraId="72C5931C"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 xml:space="preserve">Huang, Y., P. </w:t>
      </w:r>
      <w:proofErr w:type="spellStart"/>
      <w:r w:rsidRPr="003061F5">
        <w:rPr>
          <w:rFonts w:asciiTheme="majorHAnsi" w:eastAsiaTheme="minorHAnsi" w:hAnsiTheme="majorHAnsi" w:cstheme="majorHAnsi"/>
          <w:kern w:val="0"/>
          <w14:ligatures w14:val="none"/>
        </w:rPr>
        <w:t>Loungani</w:t>
      </w:r>
      <w:proofErr w:type="spellEnd"/>
      <w:r w:rsidRPr="003061F5">
        <w:rPr>
          <w:rFonts w:asciiTheme="majorHAnsi" w:eastAsiaTheme="minorHAnsi" w:hAnsiTheme="majorHAnsi" w:cstheme="majorHAnsi"/>
          <w:kern w:val="0"/>
          <w14:ligatures w14:val="none"/>
        </w:rPr>
        <w:t>, G. Wang (2014), Minimum wages and firm employment: evidence from China. IMF Working Papers, 2014/184, October 2014</w:t>
      </w:r>
    </w:p>
    <w:p w14:paraId="20A99914"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Kaufman, B. E. (2010). Institutional economics and the minimum wage: broadening the theoretical and policy debate. </w:t>
      </w:r>
      <w:r w:rsidRPr="003061F5">
        <w:rPr>
          <w:rFonts w:asciiTheme="majorHAnsi" w:eastAsiaTheme="minorHAnsi" w:hAnsiTheme="majorHAnsi" w:cstheme="majorHAnsi"/>
          <w:i/>
          <w:iCs/>
          <w:kern w:val="0"/>
          <w:lang w:val="en-ZA"/>
          <w14:ligatures w14:val="none"/>
        </w:rPr>
        <w:t>ILR Review</w:t>
      </w:r>
      <w:r w:rsidRPr="003061F5">
        <w:rPr>
          <w:rFonts w:asciiTheme="majorHAnsi" w:eastAsiaTheme="minorHAnsi" w:hAnsiTheme="majorHAnsi" w:cstheme="majorHAnsi"/>
          <w:kern w:val="0"/>
          <w:lang w:val="en-ZA"/>
          <w14:ligatures w14:val="none"/>
        </w:rPr>
        <w:t>, </w:t>
      </w:r>
      <w:r w:rsidRPr="003061F5">
        <w:rPr>
          <w:rFonts w:asciiTheme="majorHAnsi" w:eastAsiaTheme="minorHAnsi" w:hAnsiTheme="majorHAnsi" w:cstheme="majorHAnsi"/>
          <w:i/>
          <w:iCs/>
          <w:kern w:val="0"/>
          <w:lang w:val="en-ZA"/>
          <w14:ligatures w14:val="none"/>
        </w:rPr>
        <w:t>63</w:t>
      </w:r>
      <w:r w:rsidRPr="003061F5">
        <w:rPr>
          <w:rFonts w:asciiTheme="majorHAnsi" w:eastAsiaTheme="minorHAnsi" w:hAnsiTheme="majorHAnsi" w:cstheme="majorHAnsi"/>
          <w:kern w:val="0"/>
          <w:lang w:val="en-ZA"/>
          <w14:ligatures w14:val="none"/>
        </w:rPr>
        <w:t>(3), 427-453.</w:t>
      </w:r>
    </w:p>
    <w:p w14:paraId="25624A24"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Lester, R. A. (1960). Employment effects of minimum wages. </w:t>
      </w:r>
      <w:r w:rsidRPr="003061F5">
        <w:rPr>
          <w:rFonts w:asciiTheme="majorHAnsi" w:eastAsiaTheme="minorHAnsi" w:hAnsiTheme="majorHAnsi" w:cstheme="majorHAnsi"/>
          <w:i/>
          <w:iCs/>
          <w:kern w:val="0"/>
          <w:lang w:val="en-ZA"/>
          <w14:ligatures w14:val="none"/>
        </w:rPr>
        <w:t>ILR Review</w:t>
      </w:r>
      <w:r w:rsidRPr="003061F5">
        <w:rPr>
          <w:rFonts w:asciiTheme="majorHAnsi" w:eastAsiaTheme="minorHAnsi" w:hAnsiTheme="majorHAnsi" w:cstheme="majorHAnsi"/>
          <w:kern w:val="0"/>
          <w:lang w:val="en-ZA"/>
          <w14:ligatures w14:val="none"/>
        </w:rPr>
        <w:t>, </w:t>
      </w:r>
      <w:r w:rsidRPr="003061F5">
        <w:rPr>
          <w:rFonts w:asciiTheme="majorHAnsi" w:eastAsiaTheme="minorHAnsi" w:hAnsiTheme="majorHAnsi" w:cstheme="majorHAnsi"/>
          <w:i/>
          <w:iCs/>
          <w:kern w:val="0"/>
          <w:lang w:val="en-ZA"/>
          <w14:ligatures w14:val="none"/>
        </w:rPr>
        <w:t>13</w:t>
      </w:r>
      <w:r w:rsidRPr="003061F5">
        <w:rPr>
          <w:rFonts w:asciiTheme="majorHAnsi" w:eastAsiaTheme="minorHAnsi" w:hAnsiTheme="majorHAnsi" w:cstheme="majorHAnsi"/>
          <w:kern w:val="0"/>
          <w:lang w:val="en-ZA"/>
          <w14:ligatures w14:val="none"/>
        </w:rPr>
        <w:t>(2), 254-264.</w:t>
      </w:r>
    </w:p>
    <w:p w14:paraId="46C3118F"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 xml:space="preserve">Liebenberg, F. (2013). </w:t>
      </w:r>
      <w:r w:rsidRPr="003061F5">
        <w:rPr>
          <w:rFonts w:asciiTheme="majorHAnsi" w:eastAsiaTheme="minorHAnsi" w:hAnsiTheme="majorHAnsi" w:cstheme="majorHAnsi"/>
          <w:i/>
          <w:iCs/>
          <w:kern w:val="0"/>
          <w14:ligatures w14:val="none"/>
        </w:rPr>
        <w:t>South African agricultural production, productivity and research performance in the 20th century</w:t>
      </w:r>
      <w:r w:rsidRPr="003061F5">
        <w:rPr>
          <w:rFonts w:asciiTheme="majorHAnsi" w:eastAsiaTheme="minorHAnsi" w:hAnsiTheme="majorHAnsi" w:cstheme="majorHAnsi"/>
          <w:kern w:val="0"/>
          <w14:ligatures w14:val="none"/>
        </w:rPr>
        <w:t xml:space="preserve"> (Doctoral dissertation, University of Pretoria).</w:t>
      </w:r>
    </w:p>
    <w:p w14:paraId="4485638E"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Minimum Wage: Evidence from a Low-Wage Labour Market’. Oxford Bulletin of Economics and Statistics, 75(6): 972-979.</w:t>
      </w:r>
    </w:p>
    <w:p w14:paraId="4C4918CD"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 xml:space="preserve">Neumark D, Salas J. </w:t>
      </w:r>
      <w:proofErr w:type="spellStart"/>
      <w:r w:rsidRPr="003061F5">
        <w:rPr>
          <w:rFonts w:asciiTheme="majorHAnsi" w:eastAsiaTheme="minorHAnsi" w:hAnsiTheme="majorHAnsi" w:cstheme="majorHAnsi"/>
          <w:kern w:val="0"/>
          <w14:ligatures w14:val="none"/>
        </w:rPr>
        <w:t>M</w:t>
      </w:r>
      <w:proofErr w:type="spellEnd"/>
      <w:r w:rsidRPr="003061F5">
        <w:rPr>
          <w:rFonts w:asciiTheme="majorHAnsi" w:eastAsiaTheme="minorHAnsi" w:hAnsiTheme="majorHAnsi" w:cstheme="majorHAnsi"/>
          <w:kern w:val="0"/>
          <w14:ligatures w14:val="none"/>
        </w:rPr>
        <w:t xml:space="preserve"> I, Wascher W (2014) Revisiting the minimum wage–employment debate: throwing out the baby with the bathwater? </w:t>
      </w:r>
      <w:proofErr w:type="spellStart"/>
      <w:r w:rsidRPr="003061F5">
        <w:rPr>
          <w:rFonts w:asciiTheme="majorHAnsi" w:eastAsiaTheme="minorHAnsi" w:hAnsiTheme="majorHAnsi" w:cstheme="majorHAnsi"/>
          <w:kern w:val="0"/>
          <w14:ligatures w14:val="none"/>
        </w:rPr>
        <w:t>Industr</w:t>
      </w:r>
      <w:proofErr w:type="spellEnd"/>
      <w:r w:rsidRPr="003061F5">
        <w:rPr>
          <w:rFonts w:asciiTheme="majorHAnsi" w:eastAsiaTheme="minorHAnsi" w:hAnsiTheme="majorHAnsi" w:cstheme="majorHAnsi"/>
          <w:kern w:val="0"/>
          <w14:ligatures w14:val="none"/>
        </w:rPr>
        <w:t xml:space="preserve"> Labor </w:t>
      </w:r>
      <w:proofErr w:type="spellStart"/>
      <w:r w:rsidRPr="003061F5">
        <w:rPr>
          <w:rFonts w:asciiTheme="majorHAnsi" w:eastAsiaTheme="minorHAnsi" w:hAnsiTheme="majorHAnsi" w:cstheme="majorHAnsi"/>
          <w:kern w:val="0"/>
          <w14:ligatures w14:val="none"/>
        </w:rPr>
        <w:t>Relat</w:t>
      </w:r>
      <w:proofErr w:type="spellEnd"/>
      <w:r w:rsidRPr="003061F5">
        <w:rPr>
          <w:rFonts w:asciiTheme="majorHAnsi" w:eastAsiaTheme="minorHAnsi" w:hAnsiTheme="majorHAnsi" w:cstheme="majorHAnsi"/>
          <w:kern w:val="0"/>
          <w14:ligatures w14:val="none"/>
        </w:rPr>
        <w:t xml:space="preserve"> Rev 67(3_suppl):608–648</w:t>
      </w:r>
    </w:p>
    <w:p w14:paraId="2B493EA0"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 xml:space="preserve">Neumark, D., &amp; Wascher, W. (2006). Minimum wages and employment: A review of evidence from the new minimum wage research. </w:t>
      </w:r>
    </w:p>
    <w:p w14:paraId="33F444E9"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Neumark, D., Salas, J. I., &amp; Wascher, W. (2014). Revisiting the minimum wage—Employment debate: Throwing out the baby with the bathwater? </w:t>
      </w:r>
      <w:proofErr w:type="spellStart"/>
      <w:r w:rsidRPr="003061F5">
        <w:rPr>
          <w:rFonts w:asciiTheme="majorHAnsi" w:eastAsiaTheme="minorHAnsi" w:hAnsiTheme="majorHAnsi" w:cstheme="majorHAnsi"/>
          <w:i/>
          <w:iCs/>
          <w:kern w:val="0"/>
          <w:lang w:val="en-ZA"/>
          <w14:ligatures w14:val="none"/>
        </w:rPr>
        <w:t>Ilr</w:t>
      </w:r>
      <w:proofErr w:type="spellEnd"/>
      <w:r w:rsidRPr="003061F5">
        <w:rPr>
          <w:rFonts w:asciiTheme="majorHAnsi" w:eastAsiaTheme="minorHAnsi" w:hAnsiTheme="majorHAnsi" w:cstheme="majorHAnsi"/>
          <w:i/>
          <w:iCs/>
          <w:kern w:val="0"/>
          <w:lang w:val="en-ZA"/>
          <w14:ligatures w14:val="none"/>
        </w:rPr>
        <w:t xml:space="preserve"> Review</w:t>
      </w:r>
      <w:r w:rsidRPr="003061F5">
        <w:rPr>
          <w:rFonts w:asciiTheme="majorHAnsi" w:eastAsiaTheme="minorHAnsi" w:hAnsiTheme="majorHAnsi" w:cstheme="majorHAnsi"/>
          <w:kern w:val="0"/>
          <w:lang w:val="en-ZA"/>
          <w14:ligatures w14:val="none"/>
        </w:rPr>
        <w:t>, </w:t>
      </w:r>
      <w:r w:rsidRPr="003061F5">
        <w:rPr>
          <w:rFonts w:asciiTheme="majorHAnsi" w:eastAsiaTheme="minorHAnsi" w:hAnsiTheme="majorHAnsi" w:cstheme="majorHAnsi"/>
          <w:i/>
          <w:iCs/>
          <w:kern w:val="0"/>
          <w:lang w:val="en-ZA"/>
          <w14:ligatures w14:val="none"/>
        </w:rPr>
        <w:t>67</w:t>
      </w:r>
      <w:r w:rsidRPr="003061F5">
        <w:rPr>
          <w:rFonts w:asciiTheme="majorHAnsi" w:eastAsiaTheme="minorHAnsi" w:hAnsiTheme="majorHAnsi" w:cstheme="majorHAnsi"/>
          <w:kern w:val="0"/>
          <w:lang w:val="en-ZA"/>
          <w14:ligatures w14:val="none"/>
        </w:rPr>
        <w:t>(3_suppl), 608-648</w:t>
      </w:r>
    </w:p>
    <w:p w14:paraId="3D046EBE"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Owens, F. and Kagel, J. (2010). ‘Minimum Wage Restrictions and Employee</w:t>
      </w:r>
    </w:p>
    <w:p w14:paraId="6E194F87"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nl-NL"/>
          <w14:ligatures w14:val="none"/>
        </w:rPr>
        <w:t xml:space="preserve">Piek, M., </w:t>
      </w:r>
      <w:proofErr w:type="spellStart"/>
      <w:r w:rsidRPr="003061F5">
        <w:rPr>
          <w:rFonts w:asciiTheme="majorHAnsi" w:eastAsiaTheme="minorHAnsi" w:hAnsiTheme="majorHAnsi" w:cstheme="majorHAnsi"/>
          <w:kern w:val="0"/>
          <w:lang w:val="nl-NL"/>
          <w14:ligatures w14:val="none"/>
        </w:rPr>
        <w:t>von</w:t>
      </w:r>
      <w:proofErr w:type="spellEnd"/>
      <w:r w:rsidRPr="003061F5">
        <w:rPr>
          <w:rFonts w:asciiTheme="majorHAnsi" w:eastAsiaTheme="minorHAnsi" w:hAnsiTheme="majorHAnsi" w:cstheme="majorHAnsi"/>
          <w:kern w:val="0"/>
          <w:lang w:val="nl-NL"/>
          <w14:ligatures w14:val="none"/>
        </w:rPr>
        <w:t xml:space="preserve"> </w:t>
      </w:r>
      <w:proofErr w:type="spellStart"/>
      <w:r w:rsidRPr="003061F5">
        <w:rPr>
          <w:rFonts w:asciiTheme="majorHAnsi" w:eastAsiaTheme="minorHAnsi" w:hAnsiTheme="majorHAnsi" w:cstheme="majorHAnsi"/>
          <w:kern w:val="0"/>
          <w:lang w:val="nl-NL"/>
          <w14:ligatures w14:val="none"/>
        </w:rPr>
        <w:t>Fintel</w:t>
      </w:r>
      <w:proofErr w:type="spellEnd"/>
      <w:r w:rsidRPr="003061F5">
        <w:rPr>
          <w:rFonts w:asciiTheme="majorHAnsi" w:eastAsiaTheme="minorHAnsi" w:hAnsiTheme="majorHAnsi" w:cstheme="majorHAnsi"/>
          <w:kern w:val="0"/>
          <w:lang w:val="nl-NL"/>
          <w14:ligatures w14:val="none"/>
        </w:rPr>
        <w:t xml:space="preserve">, D., &amp; Kirsten, J. (2020). </w:t>
      </w:r>
      <w:r w:rsidRPr="003061F5">
        <w:rPr>
          <w:rFonts w:asciiTheme="majorHAnsi" w:eastAsiaTheme="minorHAnsi" w:hAnsiTheme="majorHAnsi" w:cstheme="majorHAnsi"/>
          <w:kern w:val="0"/>
          <w:lang w:val="en-ZA"/>
          <w14:ligatures w14:val="none"/>
        </w:rPr>
        <w:t>Separating employment effects into job destruction and job creation.</w:t>
      </w:r>
    </w:p>
    <w:p w14:paraId="5C0CEC72"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 xml:space="preserve">Ranchod, V., &amp; Bassier, I. (2017). </w:t>
      </w:r>
      <w:r w:rsidRPr="003061F5">
        <w:rPr>
          <w:rFonts w:asciiTheme="majorHAnsi" w:eastAsiaTheme="minorHAnsi" w:hAnsiTheme="majorHAnsi" w:cstheme="majorHAnsi"/>
          <w:i/>
          <w:iCs/>
          <w:kern w:val="0"/>
          <w14:ligatures w14:val="none"/>
        </w:rPr>
        <w:t>Estimating the wage and employment effects of a large increase in South Africa’s agricultural minimum wage</w:t>
      </w:r>
      <w:r w:rsidRPr="003061F5">
        <w:rPr>
          <w:rFonts w:asciiTheme="majorHAnsi" w:eastAsiaTheme="minorHAnsi" w:hAnsiTheme="majorHAnsi" w:cstheme="majorHAnsi"/>
          <w:kern w:val="0"/>
          <w14:ligatures w14:val="none"/>
        </w:rPr>
        <w:t>. REDI3x3 Working Paper.</w:t>
      </w:r>
    </w:p>
    <w:p w14:paraId="76D7BBBC"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lastRenderedPageBreak/>
        <w:t xml:space="preserve">Riley, R. and Rosazza </w:t>
      </w:r>
      <w:proofErr w:type="spellStart"/>
      <w:r w:rsidRPr="003061F5">
        <w:rPr>
          <w:rFonts w:asciiTheme="majorHAnsi" w:eastAsiaTheme="minorHAnsi" w:hAnsiTheme="majorHAnsi" w:cstheme="majorHAnsi"/>
          <w:kern w:val="0"/>
          <w14:ligatures w14:val="none"/>
        </w:rPr>
        <w:t>Bondibene</w:t>
      </w:r>
      <w:proofErr w:type="spellEnd"/>
      <w:r w:rsidRPr="003061F5">
        <w:rPr>
          <w:rFonts w:asciiTheme="majorHAnsi" w:eastAsiaTheme="minorHAnsi" w:hAnsiTheme="majorHAnsi" w:cstheme="majorHAnsi"/>
          <w:kern w:val="0"/>
          <w14:ligatures w14:val="none"/>
        </w:rPr>
        <w:t xml:space="preserve">, C. (2015) The Impact of the National Minimum Wage on UK Businesses, Research Report for the Low Pay Commission. </w:t>
      </w:r>
      <w:proofErr w:type="spellStart"/>
      <w:r w:rsidRPr="003061F5">
        <w:rPr>
          <w:rFonts w:asciiTheme="majorHAnsi" w:eastAsiaTheme="minorHAnsi" w:hAnsiTheme="majorHAnsi" w:cstheme="majorHAnsi"/>
          <w:kern w:val="0"/>
          <w14:ligatures w14:val="none"/>
        </w:rPr>
        <w:t>Rizov</w:t>
      </w:r>
      <w:proofErr w:type="spellEnd"/>
      <w:r w:rsidRPr="003061F5">
        <w:rPr>
          <w:rFonts w:asciiTheme="majorHAnsi" w:eastAsiaTheme="minorHAnsi" w:hAnsiTheme="majorHAnsi" w:cstheme="majorHAnsi"/>
          <w:kern w:val="0"/>
          <w14:ligatures w14:val="none"/>
        </w:rPr>
        <w:t>,</w:t>
      </w:r>
    </w:p>
    <w:p w14:paraId="4D4A11D5"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Schmitt, J. (2013). </w:t>
      </w:r>
      <w:r w:rsidRPr="003061F5">
        <w:rPr>
          <w:rFonts w:asciiTheme="majorHAnsi" w:eastAsiaTheme="minorHAnsi" w:hAnsiTheme="majorHAnsi" w:cstheme="majorHAnsi"/>
          <w:i/>
          <w:iCs/>
          <w:kern w:val="0"/>
          <w:lang w:val="en-ZA"/>
          <w14:ligatures w14:val="none"/>
        </w:rPr>
        <w:t>Why does the minimum wage have no discernible effect on employment?</w:t>
      </w:r>
      <w:r w:rsidRPr="003061F5">
        <w:rPr>
          <w:rFonts w:asciiTheme="majorHAnsi" w:eastAsiaTheme="minorHAnsi" w:hAnsiTheme="majorHAnsi" w:cstheme="majorHAnsi"/>
          <w:kern w:val="0"/>
          <w:lang w:val="en-ZA"/>
          <w14:ligatures w14:val="none"/>
        </w:rPr>
        <w:t xml:space="preserve"> (Vol. 4). Washington, DC: </w:t>
      </w:r>
      <w:proofErr w:type="spellStart"/>
      <w:r w:rsidRPr="003061F5">
        <w:rPr>
          <w:rFonts w:asciiTheme="majorHAnsi" w:eastAsiaTheme="minorHAnsi" w:hAnsiTheme="majorHAnsi" w:cstheme="majorHAnsi"/>
          <w:kern w:val="0"/>
          <w:lang w:val="en-ZA"/>
          <w14:ligatures w14:val="none"/>
        </w:rPr>
        <w:t>Center</w:t>
      </w:r>
      <w:proofErr w:type="spellEnd"/>
      <w:r w:rsidRPr="003061F5">
        <w:rPr>
          <w:rFonts w:asciiTheme="majorHAnsi" w:eastAsiaTheme="minorHAnsi" w:hAnsiTheme="majorHAnsi" w:cstheme="majorHAnsi"/>
          <w:kern w:val="0"/>
          <w:lang w:val="en-ZA"/>
          <w14:ligatures w14:val="none"/>
        </w:rPr>
        <w:t xml:space="preserve"> for Economic and Policy Research.</w:t>
      </w:r>
    </w:p>
    <w:p w14:paraId="2D9B0002"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ZA"/>
          <w14:ligatures w14:val="none"/>
        </w:rPr>
      </w:pPr>
      <w:r w:rsidRPr="003061F5">
        <w:rPr>
          <w:rFonts w:asciiTheme="majorHAnsi" w:eastAsiaTheme="minorHAnsi" w:hAnsiTheme="majorHAnsi" w:cstheme="majorHAnsi"/>
          <w:kern w:val="0"/>
          <w:lang w:val="en-ZA"/>
          <w14:ligatures w14:val="none"/>
        </w:rPr>
        <w:t>Tan, B. (2021). The minimum wage and firm networks: Evidence from South Africa. </w:t>
      </w:r>
      <w:r w:rsidRPr="003061F5">
        <w:rPr>
          <w:rFonts w:asciiTheme="majorHAnsi" w:eastAsiaTheme="minorHAnsi" w:hAnsiTheme="majorHAnsi" w:cstheme="majorHAnsi"/>
          <w:i/>
          <w:iCs/>
          <w:kern w:val="0"/>
          <w:lang w:val="en-ZA"/>
          <w14:ligatures w14:val="none"/>
        </w:rPr>
        <w:t>Available at SSRN 3848902</w:t>
      </w:r>
      <w:r w:rsidRPr="003061F5">
        <w:rPr>
          <w:rFonts w:asciiTheme="majorHAnsi" w:eastAsiaTheme="minorHAnsi" w:hAnsiTheme="majorHAnsi" w:cstheme="majorHAnsi"/>
          <w:kern w:val="0"/>
          <w:lang w:val="en-ZA"/>
          <w14:ligatures w14:val="none"/>
        </w:rPr>
        <w:t>.</w:t>
      </w:r>
    </w:p>
    <w:p w14:paraId="2E5C0839"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14:ligatures w14:val="none"/>
        </w:rPr>
        <w:t xml:space="preserve">Van der Zee, K. (2017). </w:t>
      </w:r>
      <w:r w:rsidRPr="003061F5">
        <w:rPr>
          <w:rFonts w:asciiTheme="majorHAnsi" w:eastAsiaTheme="minorHAnsi" w:hAnsiTheme="majorHAnsi" w:cstheme="majorHAnsi"/>
          <w:i/>
          <w:iCs/>
          <w:kern w:val="0"/>
          <w14:ligatures w14:val="none"/>
        </w:rPr>
        <w:t>Assessing the effects of two agricultural minimum wage shocks in South Africa</w:t>
      </w:r>
      <w:r w:rsidRPr="003061F5">
        <w:rPr>
          <w:rFonts w:asciiTheme="majorHAnsi" w:eastAsiaTheme="minorHAnsi" w:hAnsiTheme="majorHAnsi" w:cstheme="majorHAnsi"/>
          <w:kern w:val="0"/>
          <w14:ligatures w14:val="none"/>
        </w:rPr>
        <w:t xml:space="preserve"> (Master's thesis, University of Cape Town).</w:t>
      </w:r>
    </w:p>
    <w:p w14:paraId="1BB42EBA"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r w:rsidRPr="003061F5">
        <w:rPr>
          <w:rFonts w:asciiTheme="majorHAnsi" w:eastAsiaTheme="minorHAnsi" w:hAnsiTheme="majorHAnsi" w:cstheme="majorHAnsi"/>
          <w:kern w:val="0"/>
          <w:lang w:val="en-ZA"/>
          <w14:ligatures w14:val="none"/>
        </w:rPr>
        <w:t>Wilson, Mark. "The negative effects of minimum wage laws." </w:t>
      </w:r>
      <w:r w:rsidRPr="003061F5">
        <w:rPr>
          <w:rFonts w:asciiTheme="majorHAnsi" w:eastAsiaTheme="minorHAnsi" w:hAnsiTheme="majorHAnsi" w:cstheme="majorHAnsi"/>
          <w:i/>
          <w:iCs/>
          <w:kern w:val="0"/>
          <w:lang w:val="en-ZA"/>
          <w14:ligatures w14:val="none"/>
        </w:rPr>
        <w:t>CATO Institute Policy Analysis</w:t>
      </w:r>
      <w:r w:rsidRPr="003061F5">
        <w:rPr>
          <w:rFonts w:asciiTheme="majorHAnsi" w:eastAsiaTheme="minorHAnsi" w:hAnsiTheme="majorHAnsi" w:cstheme="majorHAnsi"/>
          <w:kern w:val="0"/>
          <w:lang w:val="en-ZA"/>
          <w14:ligatures w14:val="none"/>
        </w:rPr>
        <w:t> 701 (2012).</w:t>
      </w:r>
      <w:r w:rsidRPr="003061F5">
        <w:rPr>
          <w:rFonts w:asciiTheme="majorHAnsi" w:eastAsiaTheme="minorHAnsi" w:hAnsiTheme="majorHAnsi" w:cstheme="majorHAnsi"/>
          <w:kern w:val="0"/>
          <w14:ligatures w14:val="none"/>
        </w:rPr>
        <w:t xml:space="preserve"> </w:t>
      </w:r>
    </w:p>
    <w:bookmarkEnd w:id="0"/>
    <w:p w14:paraId="6A715C00"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14:ligatures w14:val="none"/>
        </w:rPr>
      </w:pPr>
    </w:p>
    <w:p w14:paraId="19E36250"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US"/>
          <w14:ligatures w14:val="none"/>
        </w:rPr>
      </w:pPr>
    </w:p>
    <w:p w14:paraId="433F69A2"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US"/>
          <w14:ligatures w14:val="none"/>
        </w:rPr>
      </w:pPr>
    </w:p>
    <w:p w14:paraId="72C44C22" w14:textId="77777777" w:rsidR="003061F5" w:rsidRPr="003061F5" w:rsidRDefault="003061F5" w:rsidP="003061F5">
      <w:pPr>
        <w:spacing w:after="160" w:line="360" w:lineRule="auto"/>
        <w:ind w:left="720" w:hanging="720"/>
        <w:jc w:val="both"/>
        <w:rPr>
          <w:rFonts w:asciiTheme="majorHAnsi" w:eastAsiaTheme="minorHAnsi" w:hAnsiTheme="majorHAnsi" w:cstheme="majorHAnsi"/>
          <w:kern w:val="0"/>
          <w:lang w:val="en-US"/>
          <w14:ligatures w14:val="none"/>
        </w:rPr>
      </w:pPr>
    </w:p>
    <w:p w14:paraId="6FA99DD9" w14:textId="77777777" w:rsidR="003061F5" w:rsidRPr="003061F5" w:rsidRDefault="003061F5" w:rsidP="003061F5">
      <w:pPr>
        <w:spacing w:after="160" w:line="360" w:lineRule="auto"/>
        <w:jc w:val="both"/>
        <w:rPr>
          <w:rFonts w:asciiTheme="majorHAnsi" w:eastAsiaTheme="minorHAnsi" w:hAnsiTheme="majorHAnsi" w:cstheme="majorHAnsi"/>
          <w:kern w:val="0"/>
          <w:lang w:val="en-US"/>
          <w14:ligatures w14:val="none"/>
        </w:rPr>
      </w:pPr>
    </w:p>
    <w:p w14:paraId="59198471" w14:textId="77777777" w:rsidR="003061F5" w:rsidRPr="003061F5" w:rsidRDefault="003061F5" w:rsidP="003061F5">
      <w:pPr>
        <w:spacing w:after="160" w:line="360" w:lineRule="auto"/>
        <w:jc w:val="both"/>
        <w:rPr>
          <w:rFonts w:asciiTheme="majorHAnsi" w:eastAsiaTheme="minorHAnsi" w:hAnsiTheme="majorHAnsi" w:cstheme="majorHAnsi"/>
          <w:kern w:val="0"/>
          <w:lang w:val="en-US"/>
          <w14:ligatures w14:val="none"/>
        </w:rPr>
      </w:pPr>
    </w:p>
    <w:p w14:paraId="42FAD192" w14:textId="77777777" w:rsidR="003061F5" w:rsidRPr="003061F5" w:rsidRDefault="003061F5" w:rsidP="003061F5">
      <w:pPr>
        <w:spacing w:after="160" w:line="360" w:lineRule="auto"/>
        <w:jc w:val="both"/>
        <w:rPr>
          <w:rFonts w:asciiTheme="majorHAnsi" w:eastAsiaTheme="minorHAnsi" w:hAnsiTheme="majorHAnsi" w:cstheme="majorHAnsi"/>
          <w:kern w:val="0"/>
          <w:lang w:val="en-US"/>
          <w14:ligatures w14:val="none"/>
        </w:rPr>
      </w:pPr>
    </w:p>
    <w:p w14:paraId="2B46A4CF" w14:textId="77777777" w:rsidR="003061F5" w:rsidRPr="003061F5" w:rsidRDefault="003061F5" w:rsidP="003061F5">
      <w:pPr>
        <w:spacing w:after="160" w:line="360" w:lineRule="auto"/>
        <w:jc w:val="both"/>
        <w:rPr>
          <w:rFonts w:asciiTheme="majorHAnsi" w:eastAsiaTheme="minorHAnsi" w:hAnsiTheme="majorHAnsi" w:cstheme="majorHAnsi"/>
          <w:kern w:val="0"/>
          <w:lang w:val="en-US"/>
          <w14:ligatures w14:val="none"/>
        </w:rPr>
      </w:pPr>
    </w:p>
    <w:p w14:paraId="502D59B6" w14:textId="77777777" w:rsidR="003061F5" w:rsidRPr="003061F5" w:rsidRDefault="003061F5" w:rsidP="003061F5">
      <w:pPr>
        <w:spacing w:after="160" w:line="360" w:lineRule="auto"/>
        <w:jc w:val="both"/>
        <w:rPr>
          <w:rFonts w:asciiTheme="majorHAnsi" w:eastAsiaTheme="minorHAnsi" w:hAnsiTheme="majorHAnsi" w:cstheme="majorHAnsi"/>
          <w:kern w:val="0"/>
          <w:lang w:val="en-US"/>
          <w14:ligatures w14:val="none"/>
        </w:rPr>
      </w:pPr>
    </w:p>
    <w:p w14:paraId="1567538A" w14:textId="77777777" w:rsidR="003061F5" w:rsidRPr="00CF21D5" w:rsidRDefault="003061F5" w:rsidP="00CF21D5">
      <w:pPr>
        <w:spacing w:line="360" w:lineRule="auto"/>
        <w:jc w:val="both"/>
        <w:rPr>
          <w:rFonts w:asciiTheme="majorHAnsi" w:hAnsiTheme="majorHAnsi" w:cstheme="majorHAnsi"/>
          <w:lang w:val="en-US"/>
        </w:rPr>
      </w:pPr>
    </w:p>
    <w:sectPr w:rsidR="003061F5" w:rsidRPr="00CF21D5">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C0BB3" w14:textId="77777777" w:rsidR="00045630" w:rsidRDefault="00045630">
      <w:r>
        <w:separator/>
      </w:r>
    </w:p>
  </w:endnote>
  <w:endnote w:type="continuationSeparator" w:id="0">
    <w:p w14:paraId="11ABD4EF" w14:textId="77777777" w:rsidR="00045630" w:rsidRDefault="00045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919580"/>
      <w:docPartObj>
        <w:docPartGallery w:val="Page Numbers (Bottom of Page)"/>
        <w:docPartUnique/>
      </w:docPartObj>
    </w:sdtPr>
    <w:sdtEndPr>
      <w:rPr>
        <w:noProof/>
      </w:rPr>
    </w:sdtEndPr>
    <w:sdtContent>
      <w:p w14:paraId="6AF4F988" w14:textId="032444DD" w:rsidR="0088378A" w:rsidRDefault="007919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B3204" w14:textId="77777777" w:rsidR="0088378A" w:rsidRDefault="008837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43EE" w14:textId="77777777" w:rsidR="00045630" w:rsidRDefault="00045630">
      <w:r>
        <w:separator/>
      </w:r>
    </w:p>
  </w:footnote>
  <w:footnote w:type="continuationSeparator" w:id="0">
    <w:p w14:paraId="7DCAD3C4" w14:textId="77777777" w:rsidR="00045630" w:rsidRDefault="00045630">
      <w:r>
        <w:continuationSeparator/>
      </w:r>
    </w:p>
  </w:footnote>
  <w:footnote w:id="1">
    <w:p w14:paraId="6E14D2DE" w14:textId="77777777" w:rsidR="00E06124" w:rsidRPr="00505A18" w:rsidRDefault="00E06124" w:rsidP="00DA2F03">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Pr>
          <w:rFonts w:asciiTheme="majorHAnsi" w:hAnsiTheme="majorHAnsi" w:cstheme="majorHAnsi"/>
        </w:rPr>
        <w:t xml:space="preserve">Department of Economics, </w:t>
      </w:r>
      <w:r w:rsidRPr="00505A18">
        <w:rPr>
          <w:rFonts w:asciiTheme="majorHAnsi" w:hAnsiTheme="majorHAnsi" w:cstheme="majorHAnsi"/>
          <w:lang w:val="en-US"/>
        </w:rPr>
        <w:t xml:space="preserve">Stellenbosch University, Stellenbosch, South Africa [25732498@sun.ac.za]  </w:t>
      </w:r>
    </w:p>
  </w:footnote>
  <w:footnote w:id="2">
    <w:p w14:paraId="2FEA778D" w14:textId="77777777" w:rsidR="00E06124" w:rsidRPr="00505A18" w:rsidRDefault="00E06124" w:rsidP="00F84AB8">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UNU-WIDER, Helsinki, Finland.</w:t>
      </w:r>
    </w:p>
  </w:footnote>
  <w:footnote w:id="3">
    <w:p w14:paraId="50F91B16" w14:textId="77777777" w:rsidR="00E06124" w:rsidRPr="00505A18" w:rsidRDefault="00E06124">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892C7F">
        <w:rPr>
          <w:rFonts w:asciiTheme="majorHAnsi" w:hAnsiTheme="majorHAnsi" w:cstheme="majorHAnsi"/>
          <w:lang w:val="en-US"/>
        </w:rPr>
        <w:t>Institute of Labor Economics (IZA), Bonn, Germany</w:t>
      </w:r>
    </w:p>
  </w:footnote>
  <w:footnote w:id="4">
    <w:p w14:paraId="7F91040A" w14:textId="77777777" w:rsidR="00E06124" w:rsidRPr="00505A18" w:rsidRDefault="00E06124" w:rsidP="00F84AB8">
      <w:pPr>
        <w:pStyle w:val="FootnoteText"/>
        <w:rPr>
          <w:rFonts w:asciiTheme="majorHAnsi" w:hAnsiTheme="majorHAnsi" w:cstheme="majorHAnsi"/>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Pr>
          <w:rFonts w:asciiTheme="majorHAnsi" w:hAnsiTheme="majorHAnsi" w:cstheme="majorHAnsi"/>
          <w:lang w:val="en-US"/>
        </w:rPr>
        <w:t>Pan-African Scientific Research Council</w:t>
      </w:r>
    </w:p>
  </w:footnote>
  <w:footnote w:id="5">
    <w:p w14:paraId="7954E6CB" w14:textId="77777777" w:rsidR="00E06124" w:rsidRPr="00505A18" w:rsidRDefault="00E06124">
      <w:pPr>
        <w:pStyle w:val="FootnoteText"/>
        <w:rPr>
          <w:lang w:val="en-US"/>
        </w:rPr>
      </w:pPr>
      <w:r w:rsidRPr="00505A18">
        <w:rPr>
          <w:rStyle w:val="FootnoteReference"/>
          <w:rFonts w:asciiTheme="majorHAnsi" w:hAnsiTheme="majorHAnsi" w:cstheme="majorHAnsi"/>
        </w:rPr>
        <w:footnoteRef/>
      </w:r>
      <w:r w:rsidRPr="00505A18">
        <w:rPr>
          <w:rFonts w:asciiTheme="majorHAnsi" w:hAnsiTheme="majorHAnsi" w:cstheme="majorHAnsi"/>
        </w:rPr>
        <w:t xml:space="preserve"> </w:t>
      </w:r>
      <w:r w:rsidRPr="00505A18">
        <w:rPr>
          <w:rFonts w:asciiTheme="majorHAnsi" w:hAnsiTheme="majorHAnsi" w:cstheme="majorHAnsi"/>
          <w:lang w:val="en-US"/>
        </w:rPr>
        <w:t xml:space="preserve">Institute of Developing Economies, Japan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4515"/>
    <w:multiLevelType w:val="hybridMultilevel"/>
    <w:tmpl w:val="025A95B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0303C"/>
    <w:multiLevelType w:val="hybridMultilevel"/>
    <w:tmpl w:val="60B68ABC"/>
    <w:lvl w:ilvl="0" w:tplc="7E5400BA">
      <w:start w:val="15"/>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96D11DC"/>
    <w:multiLevelType w:val="multilevel"/>
    <w:tmpl w:val="54441BB8"/>
    <w:lvl w:ilvl="0">
      <w:start w:val="1"/>
      <w:numFmt w:val="decimal"/>
      <w:lvlText w:val="%1."/>
      <w:lvlJc w:val="left"/>
      <w:pPr>
        <w:ind w:left="720" w:hanging="360"/>
      </w:pPr>
      <w:rPr>
        <w:rFonts w:hint="default"/>
        <w:b/>
        <w:bCs/>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76A5A3B"/>
    <w:multiLevelType w:val="hybridMultilevel"/>
    <w:tmpl w:val="97984886"/>
    <w:lvl w:ilvl="0" w:tplc="7E5400BA">
      <w:start w:val="1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6423164"/>
    <w:multiLevelType w:val="hybridMultilevel"/>
    <w:tmpl w:val="944247BC"/>
    <w:lvl w:ilvl="0" w:tplc="914ED63E">
      <w:start w:val="1"/>
      <w:numFmt w:val="decimal"/>
      <w:lvlText w:val="%1."/>
      <w:lvlJc w:val="left"/>
      <w:pPr>
        <w:ind w:left="1080" w:hanging="360"/>
      </w:pPr>
      <w:rPr>
        <w:rFonts w:hint="default"/>
      </w:rPr>
    </w:lvl>
    <w:lvl w:ilvl="1" w:tplc="B67E9A04" w:tentative="1">
      <w:start w:val="1"/>
      <w:numFmt w:val="lowerLetter"/>
      <w:lvlText w:val="%2."/>
      <w:lvlJc w:val="left"/>
      <w:pPr>
        <w:ind w:left="1440" w:hanging="360"/>
      </w:pPr>
    </w:lvl>
    <w:lvl w:ilvl="2" w:tplc="07B27F2E" w:tentative="1">
      <w:start w:val="1"/>
      <w:numFmt w:val="lowerRoman"/>
      <w:lvlText w:val="%3."/>
      <w:lvlJc w:val="right"/>
      <w:pPr>
        <w:ind w:left="2160" w:hanging="180"/>
      </w:pPr>
    </w:lvl>
    <w:lvl w:ilvl="3" w:tplc="7FCC1BEC" w:tentative="1">
      <w:start w:val="1"/>
      <w:numFmt w:val="decimal"/>
      <w:lvlText w:val="%4."/>
      <w:lvlJc w:val="left"/>
      <w:pPr>
        <w:ind w:left="2880" w:hanging="360"/>
      </w:pPr>
    </w:lvl>
    <w:lvl w:ilvl="4" w:tplc="6D3C307C" w:tentative="1">
      <w:start w:val="1"/>
      <w:numFmt w:val="lowerLetter"/>
      <w:lvlText w:val="%5."/>
      <w:lvlJc w:val="left"/>
      <w:pPr>
        <w:ind w:left="3600" w:hanging="360"/>
      </w:pPr>
    </w:lvl>
    <w:lvl w:ilvl="5" w:tplc="4A52C27C" w:tentative="1">
      <w:start w:val="1"/>
      <w:numFmt w:val="lowerRoman"/>
      <w:lvlText w:val="%6."/>
      <w:lvlJc w:val="right"/>
      <w:pPr>
        <w:ind w:left="4320" w:hanging="180"/>
      </w:pPr>
    </w:lvl>
    <w:lvl w:ilvl="6" w:tplc="B30084DE" w:tentative="1">
      <w:start w:val="1"/>
      <w:numFmt w:val="decimal"/>
      <w:lvlText w:val="%7."/>
      <w:lvlJc w:val="left"/>
      <w:pPr>
        <w:ind w:left="5040" w:hanging="360"/>
      </w:pPr>
    </w:lvl>
    <w:lvl w:ilvl="7" w:tplc="DA66F9E4" w:tentative="1">
      <w:start w:val="1"/>
      <w:numFmt w:val="lowerLetter"/>
      <w:lvlText w:val="%8."/>
      <w:lvlJc w:val="left"/>
      <w:pPr>
        <w:ind w:left="5760" w:hanging="360"/>
      </w:pPr>
    </w:lvl>
    <w:lvl w:ilvl="8" w:tplc="64C8C682" w:tentative="1">
      <w:start w:val="1"/>
      <w:numFmt w:val="lowerRoman"/>
      <w:lvlText w:val="%9."/>
      <w:lvlJc w:val="right"/>
      <w:pPr>
        <w:ind w:left="6480" w:hanging="180"/>
      </w:pPr>
    </w:lvl>
  </w:abstractNum>
  <w:abstractNum w:abstractNumId="5" w15:restartNumberingAfterBreak="0">
    <w:nsid w:val="37893B6A"/>
    <w:multiLevelType w:val="hybridMultilevel"/>
    <w:tmpl w:val="35C8BF8C"/>
    <w:lvl w:ilvl="0" w:tplc="2E8897AE">
      <w:start w:val="1"/>
      <w:numFmt w:val="decimal"/>
      <w:lvlText w:val="%1."/>
      <w:lvlJc w:val="left"/>
      <w:pPr>
        <w:ind w:left="720" w:hanging="360"/>
      </w:pPr>
      <w:rPr>
        <w:rFonts w:hint="default"/>
      </w:rPr>
    </w:lvl>
    <w:lvl w:ilvl="1" w:tplc="5FFA503A" w:tentative="1">
      <w:start w:val="1"/>
      <w:numFmt w:val="lowerLetter"/>
      <w:lvlText w:val="%2."/>
      <w:lvlJc w:val="left"/>
      <w:pPr>
        <w:ind w:left="1440" w:hanging="360"/>
      </w:pPr>
    </w:lvl>
    <w:lvl w:ilvl="2" w:tplc="3738C9B8" w:tentative="1">
      <w:start w:val="1"/>
      <w:numFmt w:val="lowerRoman"/>
      <w:lvlText w:val="%3."/>
      <w:lvlJc w:val="right"/>
      <w:pPr>
        <w:ind w:left="2160" w:hanging="180"/>
      </w:pPr>
    </w:lvl>
    <w:lvl w:ilvl="3" w:tplc="0F5479B6" w:tentative="1">
      <w:start w:val="1"/>
      <w:numFmt w:val="decimal"/>
      <w:lvlText w:val="%4."/>
      <w:lvlJc w:val="left"/>
      <w:pPr>
        <w:ind w:left="2880" w:hanging="360"/>
      </w:pPr>
    </w:lvl>
    <w:lvl w:ilvl="4" w:tplc="D6F2C3E2" w:tentative="1">
      <w:start w:val="1"/>
      <w:numFmt w:val="lowerLetter"/>
      <w:lvlText w:val="%5."/>
      <w:lvlJc w:val="left"/>
      <w:pPr>
        <w:ind w:left="3600" w:hanging="360"/>
      </w:pPr>
    </w:lvl>
    <w:lvl w:ilvl="5" w:tplc="30BE3680" w:tentative="1">
      <w:start w:val="1"/>
      <w:numFmt w:val="lowerRoman"/>
      <w:lvlText w:val="%6."/>
      <w:lvlJc w:val="right"/>
      <w:pPr>
        <w:ind w:left="4320" w:hanging="180"/>
      </w:pPr>
    </w:lvl>
    <w:lvl w:ilvl="6" w:tplc="15FCDDAE" w:tentative="1">
      <w:start w:val="1"/>
      <w:numFmt w:val="decimal"/>
      <w:lvlText w:val="%7."/>
      <w:lvlJc w:val="left"/>
      <w:pPr>
        <w:ind w:left="5040" w:hanging="360"/>
      </w:pPr>
    </w:lvl>
    <w:lvl w:ilvl="7" w:tplc="D828296E" w:tentative="1">
      <w:start w:val="1"/>
      <w:numFmt w:val="lowerLetter"/>
      <w:lvlText w:val="%8."/>
      <w:lvlJc w:val="left"/>
      <w:pPr>
        <w:ind w:left="5760" w:hanging="360"/>
      </w:pPr>
    </w:lvl>
    <w:lvl w:ilvl="8" w:tplc="EFDC8C5E" w:tentative="1">
      <w:start w:val="1"/>
      <w:numFmt w:val="lowerRoman"/>
      <w:lvlText w:val="%9."/>
      <w:lvlJc w:val="right"/>
      <w:pPr>
        <w:ind w:left="6480" w:hanging="180"/>
      </w:pPr>
    </w:lvl>
  </w:abstractNum>
  <w:abstractNum w:abstractNumId="6" w15:restartNumberingAfterBreak="0">
    <w:nsid w:val="39010DCF"/>
    <w:multiLevelType w:val="hybridMultilevel"/>
    <w:tmpl w:val="C57E0E7E"/>
    <w:lvl w:ilvl="0" w:tplc="7E5400BA">
      <w:start w:val="1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91E72E8"/>
    <w:multiLevelType w:val="hybridMultilevel"/>
    <w:tmpl w:val="BB180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D84D9B"/>
    <w:multiLevelType w:val="hybridMultilevel"/>
    <w:tmpl w:val="F36404DA"/>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A749FD"/>
    <w:multiLevelType w:val="multilevel"/>
    <w:tmpl w:val="DB667D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ECC4BA6"/>
    <w:multiLevelType w:val="hybridMultilevel"/>
    <w:tmpl w:val="614AC4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45358B"/>
    <w:multiLevelType w:val="hybridMultilevel"/>
    <w:tmpl w:val="361E7F76"/>
    <w:lvl w:ilvl="0" w:tplc="1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FA4FDE"/>
    <w:multiLevelType w:val="hybridMultilevel"/>
    <w:tmpl w:val="31446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D90502"/>
    <w:multiLevelType w:val="hybridMultilevel"/>
    <w:tmpl w:val="85741A2C"/>
    <w:lvl w:ilvl="0" w:tplc="0560891A">
      <w:start w:val="5"/>
      <w:numFmt w:val="decimal"/>
      <w:lvlText w:val="%1"/>
      <w:lvlJc w:val="left"/>
      <w:pPr>
        <w:ind w:left="720" w:hanging="360"/>
      </w:pPr>
      <w:rPr>
        <w:rFonts w:hint="default"/>
      </w:rPr>
    </w:lvl>
    <w:lvl w:ilvl="1" w:tplc="468A7E96" w:tentative="1">
      <w:start w:val="1"/>
      <w:numFmt w:val="lowerLetter"/>
      <w:lvlText w:val="%2."/>
      <w:lvlJc w:val="left"/>
      <w:pPr>
        <w:ind w:left="1440" w:hanging="360"/>
      </w:pPr>
    </w:lvl>
    <w:lvl w:ilvl="2" w:tplc="A38E0B12" w:tentative="1">
      <w:start w:val="1"/>
      <w:numFmt w:val="lowerRoman"/>
      <w:lvlText w:val="%3."/>
      <w:lvlJc w:val="right"/>
      <w:pPr>
        <w:ind w:left="2160" w:hanging="180"/>
      </w:pPr>
    </w:lvl>
    <w:lvl w:ilvl="3" w:tplc="F654AD32" w:tentative="1">
      <w:start w:val="1"/>
      <w:numFmt w:val="decimal"/>
      <w:lvlText w:val="%4."/>
      <w:lvlJc w:val="left"/>
      <w:pPr>
        <w:ind w:left="2880" w:hanging="360"/>
      </w:pPr>
    </w:lvl>
    <w:lvl w:ilvl="4" w:tplc="E7B83D76" w:tentative="1">
      <w:start w:val="1"/>
      <w:numFmt w:val="lowerLetter"/>
      <w:lvlText w:val="%5."/>
      <w:lvlJc w:val="left"/>
      <w:pPr>
        <w:ind w:left="3600" w:hanging="360"/>
      </w:pPr>
    </w:lvl>
    <w:lvl w:ilvl="5" w:tplc="56822034" w:tentative="1">
      <w:start w:val="1"/>
      <w:numFmt w:val="lowerRoman"/>
      <w:lvlText w:val="%6."/>
      <w:lvlJc w:val="right"/>
      <w:pPr>
        <w:ind w:left="4320" w:hanging="180"/>
      </w:pPr>
    </w:lvl>
    <w:lvl w:ilvl="6" w:tplc="AC40C888" w:tentative="1">
      <w:start w:val="1"/>
      <w:numFmt w:val="decimal"/>
      <w:lvlText w:val="%7."/>
      <w:lvlJc w:val="left"/>
      <w:pPr>
        <w:ind w:left="5040" w:hanging="360"/>
      </w:pPr>
    </w:lvl>
    <w:lvl w:ilvl="7" w:tplc="8026928E" w:tentative="1">
      <w:start w:val="1"/>
      <w:numFmt w:val="lowerLetter"/>
      <w:lvlText w:val="%8."/>
      <w:lvlJc w:val="left"/>
      <w:pPr>
        <w:ind w:left="5760" w:hanging="360"/>
      </w:pPr>
    </w:lvl>
    <w:lvl w:ilvl="8" w:tplc="C29C937C" w:tentative="1">
      <w:start w:val="1"/>
      <w:numFmt w:val="lowerRoman"/>
      <w:lvlText w:val="%9."/>
      <w:lvlJc w:val="right"/>
      <w:pPr>
        <w:ind w:left="6480" w:hanging="180"/>
      </w:pPr>
    </w:lvl>
  </w:abstractNum>
  <w:abstractNum w:abstractNumId="14" w15:restartNumberingAfterBreak="0">
    <w:nsid w:val="6BD6461E"/>
    <w:multiLevelType w:val="hybridMultilevel"/>
    <w:tmpl w:val="7D40A5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C671F6"/>
    <w:multiLevelType w:val="hybridMultilevel"/>
    <w:tmpl w:val="9620D9B4"/>
    <w:lvl w:ilvl="0" w:tplc="7E5400BA">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BB14C1"/>
    <w:multiLevelType w:val="hybridMultilevel"/>
    <w:tmpl w:val="6E701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AB3467"/>
    <w:multiLevelType w:val="hybridMultilevel"/>
    <w:tmpl w:val="BF521E56"/>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7679997">
    <w:abstractNumId w:val="4"/>
  </w:num>
  <w:num w:numId="2" w16cid:durableId="1444180775">
    <w:abstractNumId w:val="13"/>
  </w:num>
  <w:num w:numId="3" w16cid:durableId="2141142297">
    <w:abstractNumId w:val="5"/>
  </w:num>
  <w:num w:numId="4" w16cid:durableId="575944736">
    <w:abstractNumId w:val="17"/>
  </w:num>
  <w:num w:numId="5" w16cid:durableId="1919629403">
    <w:abstractNumId w:val="1"/>
  </w:num>
  <w:num w:numId="6" w16cid:durableId="1043216516">
    <w:abstractNumId w:val="9"/>
  </w:num>
  <w:num w:numId="7" w16cid:durableId="1356344311">
    <w:abstractNumId w:val="6"/>
  </w:num>
  <w:num w:numId="8" w16cid:durableId="1855878809">
    <w:abstractNumId w:val="3"/>
  </w:num>
  <w:num w:numId="9" w16cid:durableId="664016076">
    <w:abstractNumId w:val="15"/>
  </w:num>
  <w:num w:numId="10" w16cid:durableId="2047218167">
    <w:abstractNumId w:val="8"/>
  </w:num>
  <w:num w:numId="11" w16cid:durableId="1829781221">
    <w:abstractNumId w:val="12"/>
  </w:num>
  <w:num w:numId="12" w16cid:durableId="294608145">
    <w:abstractNumId w:val="16"/>
  </w:num>
  <w:num w:numId="13" w16cid:durableId="572398787">
    <w:abstractNumId w:val="11"/>
  </w:num>
  <w:num w:numId="14" w16cid:durableId="554437778">
    <w:abstractNumId w:val="14"/>
  </w:num>
  <w:num w:numId="15" w16cid:durableId="1997681707">
    <w:abstractNumId w:val="7"/>
  </w:num>
  <w:num w:numId="16" w16cid:durableId="246963733">
    <w:abstractNumId w:val="0"/>
  </w:num>
  <w:num w:numId="17" w16cid:durableId="2096366362">
    <w:abstractNumId w:val="10"/>
  </w:num>
  <w:num w:numId="18" w16cid:durableId="1856728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ztzS0NDczNjQyNjVT0lEKTi0uzszPAykwrAUAmP56KiwAAAA="/>
  </w:docVars>
  <w:rsids>
    <w:rsidRoot w:val="00886CD7"/>
    <w:rsid w:val="000036B0"/>
    <w:rsid w:val="000106B0"/>
    <w:rsid w:val="000117FF"/>
    <w:rsid w:val="00015457"/>
    <w:rsid w:val="00045630"/>
    <w:rsid w:val="00045E76"/>
    <w:rsid w:val="0006600C"/>
    <w:rsid w:val="000861C1"/>
    <w:rsid w:val="000C1935"/>
    <w:rsid w:val="000D2938"/>
    <w:rsid w:val="000F61B5"/>
    <w:rsid w:val="00152CA5"/>
    <w:rsid w:val="001C15BD"/>
    <w:rsid w:val="001F37CD"/>
    <w:rsid w:val="001F71AF"/>
    <w:rsid w:val="00203F05"/>
    <w:rsid w:val="00215BA8"/>
    <w:rsid w:val="00222835"/>
    <w:rsid w:val="00224FF3"/>
    <w:rsid w:val="002365C8"/>
    <w:rsid w:val="00246540"/>
    <w:rsid w:val="00246657"/>
    <w:rsid w:val="00293FA1"/>
    <w:rsid w:val="002B77B1"/>
    <w:rsid w:val="002C0733"/>
    <w:rsid w:val="002C55F8"/>
    <w:rsid w:val="002C6821"/>
    <w:rsid w:val="002D2D06"/>
    <w:rsid w:val="00304946"/>
    <w:rsid w:val="00304FD6"/>
    <w:rsid w:val="003061F5"/>
    <w:rsid w:val="00306316"/>
    <w:rsid w:val="003130B5"/>
    <w:rsid w:val="00325BB9"/>
    <w:rsid w:val="00330CA1"/>
    <w:rsid w:val="003316B6"/>
    <w:rsid w:val="00336EB3"/>
    <w:rsid w:val="00363EB0"/>
    <w:rsid w:val="003C285A"/>
    <w:rsid w:val="003D5C2E"/>
    <w:rsid w:val="003F1F74"/>
    <w:rsid w:val="003F4808"/>
    <w:rsid w:val="0041400D"/>
    <w:rsid w:val="004418FC"/>
    <w:rsid w:val="00480738"/>
    <w:rsid w:val="00487BDC"/>
    <w:rsid w:val="00491110"/>
    <w:rsid w:val="004A10D6"/>
    <w:rsid w:val="004A1892"/>
    <w:rsid w:val="004A7251"/>
    <w:rsid w:val="004D5089"/>
    <w:rsid w:val="004D59AE"/>
    <w:rsid w:val="004D7614"/>
    <w:rsid w:val="004E5874"/>
    <w:rsid w:val="004F2C1B"/>
    <w:rsid w:val="00540D57"/>
    <w:rsid w:val="005744D1"/>
    <w:rsid w:val="00575155"/>
    <w:rsid w:val="0058526E"/>
    <w:rsid w:val="005A21F2"/>
    <w:rsid w:val="005E321C"/>
    <w:rsid w:val="005F63FF"/>
    <w:rsid w:val="0065760F"/>
    <w:rsid w:val="00672E67"/>
    <w:rsid w:val="00681F06"/>
    <w:rsid w:val="006B4D8C"/>
    <w:rsid w:val="006E246B"/>
    <w:rsid w:val="006E382F"/>
    <w:rsid w:val="006F2724"/>
    <w:rsid w:val="00717D3B"/>
    <w:rsid w:val="007264A8"/>
    <w:rsid w:val="00730C36"/>
    <w:rsid w:val="007471A5"/>
    <w:rsid w:val="007656A2"/>
    <w:rsid w:val="00773AC7"/>
    <w:rsid w:val="007A60B5"/>
    <w:rsid w:val="007B0283"/>
    <w:rsid w:val="008216B1"/>
    <w:rsid w:val="00855CC8"/>
    <w:rsid w:val="00876AD1"/>
    <w:rsid w:val="0088378A"/>
    <w:rsid w:val="00886CD7"/>
    <w:rsid w:val="008905B2"/>
    <w:rsid w:val="008C3FE2"/>
    <w:rsid w:val="008D3DBB"/>
    <w:rsid w:val="008F2DD2"/>
    <w:rsid w:val="008F51B2"/>
    <w:rsid w:val="00934D5E"/>
    <w:rsid w:val="00942F4A"/>
    <w:rsid w:val="00975F35"/>
    <w:rsid w:val="00985D27"/>
    <w:rsid w:val="00991225"/>
    <w:rsid w:val="009A29DC"/>
    <w:rsid w:val="009B0B18"/>
    <w:rsid w:val="009C29EA"/>
    <w:rsid w:val="009D02C1"/>
    <w:rsid w:val="009D72F5"/>
    <w:rsid w:val="00A03D93"/>
    <w:rsid w:val="00A159A2"/>
    <w:rsid w:val="00A27BBA"/>
    <w:rsid w:val="00A30AC4"/>
    <w:rsid w:val="00A41D69"/>
    <w:rsid w:val="00A81A6E"/>
    <w:rsid w:val="00A84CE5"/>
    <w:rsid w:val="00A85612"/>
    <w:rsid w:val="00AA0AC1"/>
    <w:rsid w:val="00AA406B"/>
    <w:rsid w:val="00AB0977"/>
    <w:rsid w:val="00AD1FE3"/>
    <w:rsid w:val="00AD5749"/>
    <w:rsid w:val="00AD5853"/>
    <w:rsid w:val="00B106AA"/>
    <w:rsid w:val="00B20ED1"/>
    <w:rsid w:val="00B33F3E"/>
    <w:rsid w:val="00B41698"/>
    <w:rsid w:val="00B46380"/>
    <w:rsid w:val="00B56FB7"/>
    <w:rsid w:val="00B8071A"/>
    <w:rsid w:val="00B8135B"/>
    <w:rsid w:val="00B83C5D"/>
    <w:rsid w:val="00B94D56"/>
    <w:rsid w:val="00BA496E"/>
    <w:rsid w:val="00BA6BFE"/>
    <w:rsid w:val="00BF7AD4"/>
    <w:rsid w:val="00C07BFC"/>
    <w:rsid w:val="00C41E36"/>
    <w:rsid w:val="00C63447"/>
    <w:rsid w:val="00C72511"/>
    <w:rsid w:val="00C86818"/>
    <w:rsid w:val="00C86DCB"/>
    <w:rsid w:val="00C97599"/>
    <w:rsid w:val="00CA07D9"/>
    <w:rsid w:val="00CD2A78"/>
    <w:rsid w:val="00CD75E3"/>
    <w:rsid w:val="00D025D4"/>
    <w:rsid w:val="00D17F51"/>
    <w:rsid w:val="00D3634F"/>
    <w:rsid w:val="00D3737D"/>
    <w:rsid w:val="00D61F6E"/>
    <w:rsid w:val="00D701E3"/>
    <w:rsid w:val="00D81497"/>
    <w:rsid w:val="00D92083"/>
    <w:rsid w:val="00DB4B89"/>
    <w:rsid w:val="00DC394B"/>
    <w:rsid w:val="00DD6EFB"/>
    <w:rsid w:val="00E06124"/>
    <w:rsid w:val="00E337C7"/>
    <w:rsid w:val="00E44372"/>
    <w:rsid w:val="00E45547"/>
    <w:rsid w:val="00E61382"/>
    <w:rsid w:val="00E62D79"/>
    <w:rsid w:val="00E7552A"/>
    <w:rsid w:val="00E76455"/>
    <w:rsid w:val="00EB41CD"/>
    <w:rsid w:val="00EE57DA"/>
    <w:rsid w:val="00EE6B6B"/>
    <w:rsid w:val="00F23160"/>
    <w:rsid w:val="00F277B9"/>
    <w:rsid w:val="00F309A9"/>
    <w:rsid w:val="00F52A63"/>
    <w:rsid w:val="00F60EEC"/>
    <w:rsid w:val="00F65B8A"/>
    <w:rsid w:val="00F723D6"/>
    <w:rsid w:val="00F93AC8"/>
    <w:rsid w:val="00FB1054"/>
    <w:rsid w:val="00FB189E"/>
    <w:rsid w:val="00FB4448"/>
    <w:rsid w:val="00FB7BC4"/>
    <w:rsid w:val="00FC59A3"/>
    <w:rsid w:val="00FD5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E37F"/>
  <w15:chartTrackingRefBased/>
  <w15:docId w15:val="{D5D5547C-33E5-2745-AB9C-41BEFBB2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124"/>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lang w:val="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1F6E"/>
    <w:rPr>
      <w:color w:val="808080"/>
    </w:rPr>
  </w:style>
  <w:style w:type="paragraph" w:styleId="Caption">
    <w:name w:val="caption"/>
    <w:basedOn w:val="Normal"/>
    <w:next w:val="Normal"/>
    <w:uiPriority w:val="35"/>
    <w:unhideWhenUsed/>
    <w:qFormat/>
    <w:rsid w:val="003316B6"/>
    <w:pPr>
      <w:spacing w:after="200"/>
    </w:pPr>
    <w:rPr>
      <w:i/>
      <w:iCs/>
      <w:color w:val="44546A" w:themeColor="text2"/>
      <w:sz w:val="18"/>
      <w:szCs w:val="18"/>
    </w:rPr>
  </w:style>
  <w:style w:type="table" w:styleId="TableGrid">
    <w:name w:val="Table Grid"/>
    <w:basedOn w:val="TableNormal"/>
    <w:uiPriority w:val="59"/>
    <w:rsid w:val="00A41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1D69"/>
    <w:pPr>
      <w:spacing w:after="160" w:line="259" w:lineRule="auto"/>
      <w:ind w:left="720"/>
      <w:contextualSpacing/>
    </w:pPr>
    <w:rPr>
      <w:rFonts w:eastAsiaTheme="minorHAnsi"/>
      <w:kern w:val="0"/>
      <w:lang w:val="en-ZA"/>
      <w14:ligatures w14:val="none"/>
    </w:rPr>
  </w:style>
  <w:style w:type="character" w:styleId="CommentReference">
    <w:name w:val="annotation reference"/>
    <w:basedOn w:val="DefaultParagraphFont"/>
    <w:uiPriority w:val="99"/>
    <w:semiHidden/>
    <w:unhideWhenUsed/>
    <w:rsid w:val="00BA496E"/>
    <w:rPr>
      <w:sz w:val="16"/>
      <w:szCs w:val="16"/>
    </w:rPr>
  </w:style>
  <w:style w:type="paragraph" w:styleId="CommentText">
    <w:name w:val="annotation text"/>
    <w:basedOn w:val="Normal"/>
    <w:link w:val="CommentTextChar"/>
    <w:uiPriority w:val="99"/>
    <w:unhideWhenUsed/>
    <w:rsid w:val="00BA496E"/>
    <w:pPr>
      <w:spacing w:after="160"/>
    </w:pPr>
    <w:rPr>
      <w:rFonts w:eastAsiaTheme="minorHAnsi"/>
      <w:kern w:val="0"/>
      <w:sz w:val="20"/>
      <w:szCs w:val="20"/>
      <w:lang w:val="en-ZA"/>
      <w14:ligatures w14:val="none"/>
    </w:rPr>
  </w:style>
  <w:style w:type="character" w:customStyle="1" w:styleId="CommentTextChar">
    <w:name w:val="Comment Text Char"/>
    <w:basedOn w:val="DefaultParagraphFont"/>
    <w:link w:val="CommentText"/>
    <w:uiPriority w:val="99"/>
    <w:rsid w:val="00BA496E"/>
    <w:rPr>
      <w:rFonts w:eastAsiaTheme="minorHAnsi"/>
      <w:kern w:val="0"/>
      <w:sz w:val="20"/>
      <w:szCs w:val="20"/>
      <w:lang w:val="en-ZA"/>
      <w14:ligatures w14:val="none"/>
    </w:rPr>
  </w:style>
  <w:style w:type="paragraph" w:styleId="Header">
    <w:name w:val="header"/>
    <w:basedOn w:val="Normal"/>
    <w:link w:val="HeaderChar"/>
    <w:uiPriority w:val="99"/>
    <w:unhideWhenUsed/>
    <w:rsid w:val="0088378A"/>
    <w:pPr>
      <w:tabs>
        <w:tab w:val="center" w:pos="4513"/>
        <w:tab w:val="right" w:pos="9026"/>
      </w:tabs>
    </w:pPr>
  </w:style>
  <w:style w:type="character" w:customStyle="1" w:styleId="HeaderChar">
    <w:name w:val="Header Char"/>
    <w:basedOn w:val="DefaultParagraphFont"/>
    <w:link w:val="Header"/>
    <w:uiPriority w:val="99"/>
    <w:rsid w:val="0088378A"/>
  </w:style>
  <w:style w:type="paragraph" w:styleId="Footer">
    <w:name w:val="footer"/>
    <w:basedOn w:val="Normal"/>
    <w:link w:val="FooterChar"/>
    <w:uiPriority w:val="99"/>
    <w:unhideWhenUsed/>
    <w:rsid w:val="0088378A"/>
    <w:pPr>
      <w:tabs>
        <w:tab w:val="center" w:pos="4513"/>
        <w:tab w:val="right" w:pos="9026"/>
      </w:tabs>
    </w:pPr>
  </w:style>
  <w:style w:type="character" w:customStyle="1" w:styleId="FooterChar">
    <w:name w:val="Footer Char"/>
    <w:basedOn w:val="DefaultParagraphFont"/>
    <w:link w:val="Footer"/>
    <w:uiPriority w:val="99"/>
    <w:rsid w:val="0088378A"/>
  </w:style>
  <w:style w:type="paragraph" w:styleId="CommentSubject">
    <w:name w:val="annotation subject"/>
    <w:basedOn w:val="CommentText"/>
    <w:next w:val="CommentText"/>
    <w:link w:val="CommentSubjectChar"/>
    <w:uiPriority w:val="99"/>
    <w:semiHidden/>
    <w:unhideWhenUsed/>
    <w:rsid w:val="00E06124"/>
    <w:rPr>
      <w:b/>
      <w:bCs/>
    </w:rPr>
  </w:style>
  <w:style w:type="character" w:customStyle="1" w:styleId="CommentSubjectChar">
    <w:name w:val="Comment Subject Char"/>
    <w:basedOn w:val="CommentTextChar"/>
    <w:link w:val="CommentSubject"/>
    <w:uiPriority w:val="99"/>
    <w:semiHidden/>
    <w:rsid w:val="00E06124"/>
    <w:rPr>
      <w:rFonts w:eastAsiaTheme="minorHAnsi"/>
      <w:b/>
      <w:bCs/>
      <w:kern w:val="0"/>
      <w:sz w:val="20"/>
      <w:szCs w:val="20"/>
      <w:lang w:val="en-ZA"/>
      <w14:ligatures w14:val="none"/>
    </w:rPr>
  </w:style>
  <w:style w:type="character" w:customStyle="1" w:styleId="Heading1Char">
    <w:name w:val="Heading 1 Char"/>
    <w:basedOn w:val="DefaultParagraphFont"/>
    <w:link w:val="Heading1"/>
    <w:uiPriority w:val="9"/>
    <w:rsid w:val="00E06124"/>
    <w:rPr>
      <w:rFonts w:asciiTheme="majorHAnsi" w:eastAsiaTheme="majorEastAsia" w:hAnsiTheme="majorHAnsi" w:cstheme="majorBidi"/>
      <w:color w:val="2F5496" w:themeColor="accent1" w:themeShade="BF"/>
      <w:kern w:val="0"/>
      <w:sz w:val="32"/>
      <w:szCs w:val="32"/>
      <w:lang w:val="en-ZA"/>
      <w14:ligatures w14:val="none"/>
    </w:rPr>
  </w:style>
  <w:style w:type="paragraph" w:styleId="FootnoteText">
    <w:name w:val="footnote text"/>
    <w:basedOn w:val="Normal"/>
    <w:link w:val="FootnoteTextChar"/>
    <w:uiPriority w:val="99"/>
    <w:semiHidden/>
    <w:unhideWhenUsed/>
    <w:rsid w:val="00E06124"/>
    <w:rPr>
      <w:rFonts w:eastAsiaTheme="minorHAnsi"/>
      <w:kern w:val="0"/>
      <w:sz w:val="20"/>
      <w:szCs w:val="20"/>
      <w:lang w:val="en-ZA"/>
      <w14:ligatures w14:val="none"/>
    </w:rPr>
  </w:style>
  <w:style w:type="character" w:customStyle="1" w:styleId="FootnoteTextChar">
    <w:name w:val="Footnote Text Char"/>
    <w:basedOn w:val="DefaultParagraphFont"/>
    <w:link w:val="FootnoteText"/>
    <w:uiPriority w:val="99"/>
    <w:semiHidden/>
    <w:rsid w:val="00E06124"/>
    <w:rPr>
      <w:rFonts w:eastAsiaTheme="minorHAnsi"/>
      <w:kern w:val="0"/>
      <w:sz w:val="20"/>
      <w:szCs w:val="20"/>
      <w:lang w:val="en-ZA"/>
      <w14:ligatures w14:val="none"/>
    </w:rPr>
  </w:style>
  <w:style w:type="character" w:styleId="FootnoteReference">
    <w:name w:val="footnote reference"/>
    <w:basedOn w:val="DefaultParagraphFont"/>
    <w:uiPriority w:val="99"/>
    <w:semiHidden/>
    <w:unhideWhenUsed/>
    <w:rsid w:val="00E06124"/>
    <w:rPr>
      <w:vertAlign w:val="superscript"/>
    </w:rPr>
  </w:style>
  <w:style w:type="paragraph" w:styleId="NormalWeb">
    <w:name w:val="Normal (Web)"/>
    <w:basedOn w:val="Normal"/>
    <w:uiPriority w:val="99"/>
    <w:unhideWhenUsed/>
    <w:rsid w:val="00E06124"/>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E06124"/>
    <w:rPr>
      <w:i/>
      <w:iCs/>
    </w:rPr>
  </w:style>
  <w:style w:type="character" w:styleId="Strong">
    <w:name w:val="Strong"/>
    <w:basedOn w:val="DefaultParagraphFont"/>
    <w:uiPriority w:val="22"/>
    <w:qFormat/>
    <w:rsid w:val="00E06124"/>
    <w:rPr>
      <w:b/>
      <w:bCs/>
    </w:rPr>
  </w:style>
  <w:style w:type="character" w:styleId="Hyperlink">
    <w:name w:val="Hyperlink"/>
    <w:basedOn w:val="DefaultParagraphFont"/>
    <w:uiPriority w:val="99"/>
    <w:unhideWhenUsed/>
    <w:rsid w:val="00E06124"/>
    <w:rPr>
      <w:color w:val="0563C1" w:themeColor="hyperlink"/>
      <w:u w:val="single"/>
    </w:rPr>
  </w:style>
  <w:style w:type="paragraph" w:styleId="Revision">
    <w:name w:val="Revision"/>
    <w:hidden/>
    <w:uiPriority w:val="99"/>
    <w:semiHidden/>
    <w:rsid w:val="00E06124"/>
    <w:rPr>
      <w:rFonts w:eastAsiaTheme="minorHAnsi"/>
      <w:kern w:val="0"/>
      <w:lang w:val="en-ZA"/>
      <w14:ligatures w14:val="none"/>
    </w:rPr>
  </w:style>
  <w:style w:type="character" w:styleId="UnresolvedMention">
    <w:name w:val="Unresolved Mention"/>
    <w:basedOn w:val="DefaultParagraphFont"/>
    <w:uiPriority w:val="99"/>
    <w:semiHidden/>
    <w:unhideWhenUsed/>
    <w:rsid w:val="00E06124"/>
    <w:rPr>
      <w:color w:val="605E5C"/>
      <w:shd w:val="clear" w:color="auto" w:fill="E1DFDD"/>
    </w:rPr>
  </w:style>
  <w:style w:type="character" w:styleId="PageNumber">
    <w:name w:val="page number"/>
    <w:basedOn w:val="DefaultParagraphFont"/>
    <w:uiPriority w:val="99"/>
    <w:semiHidden/>
    <w:unhideWhenUsed/>
    <w:rsid w:val="00E06124"/>
  </w:style>
  <w:style w:type="paragraph" w:customStyle="1" w:styleId="AuthorInfo">
    <w:name w:val="Author Info"/>
    <w:basedOn w:val="Normal"/>
    <w:rsid w:val="00E06124"/>
    <w:pPr>
      <w:tabs>
        <w:tab w:val="right" w:pos="8640"/>
      </w:tabs>
      <w:spacing w:line="480" w:lineRule="auto"/>
      <w:jc w:val="center"/>
    </w:pPr>
    <w:rPr>
      <w:rFonts w:ascii="Times New Roman" w:eastAsia="Times New Roman" w:hAnsi="Times New Roman" w:cs="Times New Roman"/>
      <w:kern w:val="0"/>
      <w:sz w:val="24"/>
      <w:szCs w:val="24"/>
      <w:lang w:val="en-US"/>
      <w14:ligatures w14:val="none"/>
    </w:rPr>
  </w:style>
  <w:style w:type="table" w:customStyle="1" w:styleId="TableGrid1">
    <w:name w:val="Table Grid1"/>
    <w:basedOn w:val="TableNormal"/>
    <w:next w:val="TableGrid"/>
    <w:uiPriority w:val="39"/>
    <w:rsid w:val="00E06124"/>
    <w:rPr>
      <w:rFonts w:eastAsiaTheme="minorHAnsi"/>
      <w:kern w:val="0"/>
      <w:lang w:val="en-Z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07BFC"/>
  </w:style>
  <w:style w:type="character" w:customStyle="1" w:styleId="mord">
    <w:name w:val="mord"/>
    <w:basedOn w:val="DefaultParagraphFont"/>
    <w:rsid w:val="00C07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50495">
      <w:bodyDiv w:val="1"/>
      <w:marLeft w:val="0"/>
      <w:marRight w:val="0"/>
      <w:marTop w:val="0"/>
      <w:marBottom w:val="0"/>
      <w:divBdr>
        <w:top w:val="none" w:sz="0" w:space="0" w:color="auto"/>
        <w:left w:val="none" w:sz="0" w:space="0" w:color="auto"/>
        <w:bottom w:val="none" w:sz="0" w:space="0" w:color="auto"/>
        <w:right w:val="none" w:sz="0" w:space="0" w:color="auto"/>
      </w:divBdr>
    </w:div>
    <w:div w:id="468743700">
      <w:bodyDiv w:val="1"/>
      <w:marLeft w:val="0"/>
      <w:marRight w:val="0"/>
      <w:marTop w:val="0"/>
      <w:marBottom w:val="0"/>
      <w:divBdr>
        <w:top w:val="none" w:sz="0" w:space="0" w:color="auto"/>
        <w:left w:val="none" w:sz="0" w:space="0" w:color="auto"/>
        <w:bottom w:val="none" w:sz="0" w:space="0" w:color="auto"/>
        <w:right w:val="none" w:sz="0" w:space="0" w:color="auto"/>
      </w:divBdr>
    </w:div>
    <w:div w:id="566035703">
      <w:bodyDiv w:val="1"/>
      <w:marLeft w:val="0"/>
      <w:marRight w:val="0"/>
      <w:marTop w:val="0"/>
      <w:marBottom w:val="0"/>
      <w:divBdr>
        <w:top w:val="none" w:sz="0" w:space="0" w:color="auto"/>
        <w:left w:val="none" w:sz="0" w:space="0" w:color="auto"/>
        <w:bottom w:val="none" w:sz="0" w:space="0" w:color="auto"/>
        <w:right w:val="none" w:sz="0" w:space="0" w:color="auto"/>
      </w:divBdr>
    </w:div>
    <w:div w:id="894512091">
      <w:bodyDiv w:val="1"/>
      <w:marLeft w:val="0"/>
      <w:marRight w:val="0"/>
      <w:marTop w:val="0"/>
      <w:marBottom w:val="0"/>
      <w:divBdr>
        <w:top w:val="none" w:sz="0" w:space="0" w:color="auto"/>
        <w:left w:val="none" w:sz="0" w:space="0" w:color="auto"/>
        <w:bottom w:val="none" w:sz="0" w:space="0" w:color="auto"/>
        <w:right w:val="none" w:sz="0" w:space="0" w:color="auto"/>
      </w:divBdr>
    </w:div>
    <w:div w:id="931939101">
      <w:bodyDiv w:val="1"/>
      <w:marLeft w:val="0"/>
      <w:marRight w:val="0"/>
      <w:marTop w:val="0"/>
      <w:marBottom w:val="0"/>
      <w:divBdr>
        <w:top w:val="none" w:sz="0" w:space="0" w:color="auto"/>
        <w:left w:val="none" w:sz="0" w:space="0" w:color="auto"/>
        <w:bottom w:val="none" w:sz="0" w:space="0" w:color="auto"/>
        <w:right w:val="none" w:sz="0" w:space="0" w:color="auto"/>
      </w:divBdr>
    </w:div>
    <w:div w:id="1148088370">
      <w:bodyDiv w:val="1"/>
      <w:marLeft w:val="0"/>
      <w:marRight w:val="0"/>
      <w:marTop w:val="0"/>
      <w:marBottom w:val="0"/>
      <w:divBdr>
        <w:top w:val="none" w:sz="0" w:space="0" w:color="auto"/>
        <w:left w:val="none" w:sz="0" w:space="0" w:color="auto"/>
        <w:bottom w:val="none" w:sz="0" w:space="0" w:color="auto"/>
        <w:right w:val="none" w:sz="0" w:space="0" w:color="auto"/>
      </w:divBdr>
    </w:div>
    <w:div w:id="1447386115">
      <w:bodyDiv w:val="1"/>
      <w:marLeft w:val="0"/>
      <w:marRight w:val="0"/>
      <w:marTop w:val="0"/>
      <w:marBottom w:val="0"/>
      <w:divBdr>
        <w:top w:val="none" w:sz="0" w:space="0" w:color="auto"/>
        <w:left w:val="none" w:sz="0" w:space="0" w:color="auto"/>
        <w:bottom w:val="none" w:sz="0" w:space="0" w:color="auto"/>
        <w:right w:val="none" w:sz="0" w:space="0" w:color="auto"/>
      </w:divBdr>
    </w:div>
    <w:div w:id="1461075324">
      <w:bodyDiv w:val="1"/>
      <w:marLeft w:val="0"/>
      <w:marRight w:val="0"/>
      <w:marTop w:val="0"/>
      <w:marBottom w:val="0"/>
      <w:divBdr>
        <w:top w:val="none" w:sz="0" w:space="0" w:color="auto"/>
        <w:left w:val="none" w:sz="0" w:space="0" w:color="auto"/>
        <w:bottom w:val="none" w:sz="0" w:space="0" w:color="auto"/>
        <w:right w:val="none" w:sz="0" w:space="0" w:color="auto"/>
      </w:divBdr>
    </w:div>
    <w:div w:id="169183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257/aer.20171445" TargetMode="External"/><Relationship Id="rId2" Type="http://schemas.openxmlformats.org/officeDocument/2006/relationships/styles" Target="styles.xml"/><Relationship Id="rId16" Type="http://schemas.openxmlformats.org/officeDocument/2006/relationships/hyperlink" Target="https://doi.org/10.2139/ssrn.372779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4879</Words>
  <Characters>27815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Kilumelume</dc:creator>
  <cp:lastModifiedBy>Michael Kilumelume</cp:lastModifiedBy>
  <cp:revision>2</cp:revision>
  <dcterms:created xsi:type="dcterms:W3CDTF">2023-11-02T13:13:00Z</dcterms:created>
  <dcterms:modified xsi:type="dcterms:W3CDTF">2023-11-02T13:13:00Z</dcterms:modified>
</cp:coreProperties>
</file>